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media/image1.png" ContentType="image/png"/>
  <Override PartName="/word/media/image2.png" ContentType="image/png"/>
  <Override PartName="/word/media/image3.png" ContentType="image/png"/>
  <Override PartName="/word/media/image4.png" ContentType="image/png"/>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2.xml.rels" ContentType="application/vnd.openxmlformats-package.relationships+xml"/>
  <Override PartName="/word/_rels/header4.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reprincipal"/>
        <w:bidi w:val="0"/>
        <w:spacing w:before="240" w:after="120"/>
        <w:rPr>
          <w:rFonts w:ascii="Times New Roman" w:hAnsi="Times New Roman"/>
          <w:sz w:val="28"/>
          <w:szCs w:val="28"/>
          <w:shd w:fill="auto" w:val="clear"/>
        </w:rPr>
      </w:pPr>
      <w:r>
        <w:rPr>
          <w:rFonts w:ascii="Times New Roman" w:hAnsi="Times New Roman"/>
          <w:color w:val="C9211E"/>
          <w:sz w:val="28"/>
          <w:szCs w:val="28"/>
          <w:shd w:fill="auto" w:val="clear"/>
        </w:rPr>
        <w:t>Mal de Pott à Ouagadougou (Burkina Faso) : étude comparative selon le statut sérologique du virus de l’immunodéficience humaine (VIH)</w:t>
      </w:r>
    </w:p>
    <w:p>
      <w:pPr>
        <w:pStyle w:val="Titreprincipal"/>
        <w:bidi w:val="0"/>
        <w:rPr>
          <w:rFonts w:ascii="Times New Roman" w:hAnsi="Times New Roman"/>
          <w:sz w:val="28"/>
          <w:szCs w:val="28"/>
          <w:shd w:fill="auto" w:val="clear"/>
        </w:rPr>
      </w:pPr>
      <w:r>
        <w:rPr>
          <w:rFonts w:ascii="Times New Roman" w:hAnsi="Times New Roman"/>
          <w:sz w:val="28"/>
          <w:szCs w:val="28"/>
          <w:shd w:fill="auto" w:val="clear"/>
        </w:rPr>
        <w:t>Pott's disease in Ouagadougou (Burkina Faso): comparative study according to human immunodeficiency virus (HIV) status</w:t>
      </w:r>
    </w:p>
    <w:p>
      <w:pPr>
        <w:pStyle w:val="Author"/>
        <w:bidi w:val="0"/>
        <w:rPr>
          <w:rFonts w:ascii="Times New Roman" w:hAnsi="Times New Roman"/>
          <w:sz w:val="20"/>
          <w:szCs w:val="20"/>
          <w:shd w:fill="auto" w:val="clear"/>
          <w:lang w:val="fr-FR" w:bidi="ar-SA"/>
        </w:rPr>
      </w:pPr>
      <w:r>
        <w:rPr>
          <w:rFonts w:ascii="Times New Roman" w:hAnsi="Times New Roman"/>
          <w:sz w:val="20"/>
          <w:szCs w:val="20"/>
          <w:shd w:fill="auto" w:val="clear"/>
          <w:lang w:val="fr-FR" w:bidi="ar-SA"/>
        </w:rPr>
        <w:t>Zabsonré/Tiendrebéogo WJ</w:t>
      </w:r>
      <w:r>
        <w:rPr>
          <w:rFonts w:ascii="Times New Roman" w:hAnsi="Times New Roman"/>
          <w:sz w:val="20"/>
          <w:szCs w:val="20"/>
          <w:shd w:fill="auto" w:val="clear"/>
          <w:vertAlign w:val="superscript"/>
          <w:lang w:val="fr-FR" w:bidi="ar-SA"/>
        </w:rPr>
        <w:t>1</w:t>
      </w:r>
      <w:r>
        <w:rPr>
          <w:rFonts w:ascii="Times New Roman" w:hAnsi="Times New Roman"/>
          <w:sz w:val="20"/>
          <w:szCs w:val="20"/>
          <w:shd w:fill="auto" w:val="clear"/>
          <w:vertAlign w:val="superscript"/>
          <w:lang w:val="fr-FR" w:bidi="ar-SA"/>
        </w:rPr>
        <w:t>,</w:t>
      </w:r>
      <w:r>
        <w:rPr>
          <w:rFonts w:ascii="Times New Roman" w:hAnsi="Times New Roman"/>
          <w:sz w:val="20"/>
          <w:szCs w:val="20"/>
          <w:shd w:fill="auto" w:val="clear"/>
          <w:lang w:val="fr-FR" w:bidi="ar-SA"/>
        </w:rPr>
        <w:t xml:space="preserve">*, </w:t>
      </w:r>
      <w:r>
        <w:rPr>
          <w:rFonts w:ascii="Times New Roman" w:hAnsi="Times New Roman"/>
          <w:sz w:val="20"/>
          <w:szCs w:val="20"/>
          <w:shd w:fill="auto" w:val="clear"/>
          <w:lang w:val="fr-FR" w:bidi="ar-SA"/>
        </w:rPr>
        <w:t>Zabsonré DS</w:t>
      </w:r>
      <w:r>
        <w:rPr>
          <w:rFonts w:ascii="Times New Roman" w:hAnsi="Times New Roman"/>
          <w:sz w:val="20"/>
          <w:szCs w:val="20"/>
          <w:shd w:fill="auto" w:val="clear"/>
          <w:vertAlign w:val="superscript"/>
          <w:lang w:val="fr-FR" w:bidi="ar-SA"/>
        </w:rPr>
        <w:t>2</w:t>
      </w:r>
      <w:r>
        <w:rPr>
          <w:rFonts w:ascii="Times New Roman" w:hAnsi="Times New Roman"/>
          <w:sz w:val="20"/>
          <w:szCs w:val="20"/>
          <w:shd w:fill="auto" w:val="clear"/>
          <w:lang w:val="fr-FR" w:bidi="ar-SA"/>
        </w:rPr>
        <w:t xml:space="preserve">, </w:t>
      </w:r>
      <w:r>
        <w:rPr>
          <w:rFonts w:ascii="Times New Roman" w:hAnsi="Times New Roman"/>
          <w:sz w:val="20"/>
          <w:szCs w:val="20"/>
          <w:shd w:fill="auto" w:val="clear"/>
          <w:lang w:val="fr-FR" w:bidi="ar-SA"/>
        </w:rPr>
        <w:t>Kakpovi K</w:t>
      </w:r>
      <w:r>
        <w:rPr>
          <w:rFonts w:ascii="Times New Roman" w:hAnsi="Times New Roman"/>
          <w:sz w:val="20"/>
          <w:szCs w:val="20"/>
          <w:shd w:fill="auto" w:val="clear"/>
          <w:vertAlign w:val="superscript"/>
          <w:lang w:val="fr-FR" w:bidi="ar-SA"/>
        </w:rPr>
        <w:t>3</w:t>
      </w:r>
      <w:r>
        <w:rPr>
          <w:rFonts w:ascii="Times New Roman" w:hAnsi="Times New Roman"/>
          <w:sz w:val="20"/>
          <w:szCs w:val="20"/>
          <w:shd w:fill="auto" w:val="clear"/>
          <w:vertAlign w:val="superscript"/>
          <w:lang w:val="fr-FR" w:bidi="ar-SA"/>
        </w:rPr>
        <w:t xml:space="preserve"> </w:t>
      </w:r>
      <w:r>
        <w:rPr>
          <w:rFonts w:ascii="Times New Roman" w:hAnsi="Times New Roman"/>
          <w:position w:val="0"/>
          <w:sz w:val="20"/>
          <w:sz w:val="20"/>
          <w:szCs w:val="20"/>
          <w:shd w:fill="auto" w:val="clear"/>
          <w:vertAlign w:val="baseline"/>
          <w:lang w:val="fr-FR" w:bidi="ar-SA"/>
        </w:rPr>
        <w:t xml:space="preserve">, </w:t>
      </w:r>
      <w:r>
        <w:rPr>
          <w:rFonts w:ascii="Times New Roman" w:hAnsi="Times New Roman"/>
          <w:position w:val="0"/>
          <w:sz w:val="20"/>
          <w:sz w:val="20"/>
          <w:szCs w:val="20"/>
          <w:shd w:fill="auto" w:val="clear"/>
          <w:vertAlign w:val="baseline"/>
          <w:lang w:val="fr-FR" w:bidi="ar-SA"/>
        </w:rPr>
        <w:t>Kaboré F</w:t>
      </w:r>
      <w:r>
        <w:rPr>
          <w:rFonts w:ascii="Times New Roman" w:hAnsi="Times New Roman"/>
          <w:sz w:val="20"/>
          <w:szCs w:val="20"/>
          <w:shd w:fill="auto" w:val="clear"/>
          <w:vertAlign w:val="superscript"/>
          <w:lang w:val="fr-FR" w:bidi="ar-SA"/>
        </w:rPr>
        <w:t>1</w:t>
      </w:r>
      <w:r>
        <w:rPr>
          <w:rFonts w:ascii="Times New Roman" w:hAnsi="Times New Roman"/>
          <w:position w:val="0"/>
          <w:sz w:val="20"/>
          <w:sz w:val="20"/>
          <w:szCs w:val="20"/>
          <w:shd w:fill="auto" w:val="clear"/>
          <w:vertAlign w:val="baseline"/>
          <w:lang w:val="fr-FR" w:bidi="ar-SA"/>
        </w:rPr>
        <w:t>, Diallo I</w:t>
      </w:r>
      <w:r>
        <w:rPr>
          <w:rFonts w:ascii="Times New Roman" w:hAnsi="Times New Roman"/>
          <w:sz w:val="20"/>
          <w:szCs w:val="20"/>
          <w:shd w:fill="auto" w:val="clear"/>
          <w:vertAlign w:val="superscript"/>
          <w:lang w:val="fr-FR" w:bidi="ar-SA"/>
        </w:rPr>
        <w:t>4</w:t>
      </w:r>
      <w:r>
        <w:rPr>
          <w:rFonts w:ascii="Times New Roman" w:hAnsi="Times New Roman"/>
          <w:position w:val="0"/>
          <w:sz w:val="20"/>
          <w:sz w:val="20"/>
          <w:szCs w:val="20"/>
          <w:shd w:fill="auto" w:val="clear"/>
          <w:vertAlign w:val="baseline"/>
          <w:lang w:val="fr-FR" w:bidi="ar-SA"/>
        </w:rPr>
        <w:t>, Kambou/Tiemtoré B</w:t>
      </w:r>
      <w:r>
        <w:rPr>
          <w:rFonts w:ascii="Times New Roman" w:hAnsi="Times New Roman"/>
          <w:sz w:val="20"/>
          <w:szCs w:val="20"/>
          <w:shd w:fill="auto" w:val="clear"/>
          <w:vertAlign w:val="superscript"/>
          <w:lang w:val="fr-FR" w:bidi="ar-SA"/>
        </w:rPr>
        <w:t>5</w:t>
      </w:r>
      <w:r>
        <w:rPr>
          <w:rFonts w:ascii="Times New Roman" w:hAnsi="Times New Roman"/>
          <w:position w:val="0"/>
          <w:sz w:val="20"/>
          <w:sz w:val="20"/>
          <w:szCs w:val="20"/>
          <w:shd w:fill="auto" w:val="clear"/>
          <w:vertAlign w:val="baseline"/>
          <w:lang w:val="fr-FR" w:bidi="ar-SA"/>
        </w:rPr>
        <w:t>, Ouédraogo DD</w:t>
      </w:r>
      <w:r>
        <w:rPr>
          <w:rFonts w:ascii="Times New Roman" w:hAnsi="Times New Roman"/>
          <w:sz w:val="20"/>
          <w:szCs w:val="20"/>
          <w:shd w:fill="auto" w:val="clear"/>
          <w:vertAlign w:val="superscript"/>
          <w:lang w:val="fr-FR" w:bidi="ar-SA"/>
        </w:rPr>
        <w:t>1</w:t>
      </w:r>
    </w:p>
    <w:p>
      <w:pPr>
        <w:pStyle w:val="Address"/>
        <w:bidi w:val="0"/>
        <w:rPr>
          <w:rFonts w:ascii="Times New Roman" w:hAnsi="Times New Roman"/>
          <w:sz w:val="18"/>
          <w:szCs w:val="18"/>
          <w:shd w:fill="auto" w:val="clear"/>
          <w:lang w:val="fr-FR" w:bidi="ar-SA"/>
        </w:rPr>
      </w:pPr>
      <w:r>
        <w:rPr>
          <w:rFonts w:ascii="Times New Roman" w:hAnsi="Times New Roman"/>
          <w:sz w:val="18"/>
          <w:szCs w:val="18"/>
          <w:shd w:fill="auto" w:val="clear"/>
          <w:vertAlign w:val="superscript"/>
          <w:lang w:val="fr-FR" w:bidi="ar-SA"/>
        </w:rPr>
        <w:t>1</w:t>
      </w:r>
      <w:r>
        <w:rPr>
          <w:rFonts w:ascii="Times New Roman" w:hAnsi="Times New Roman"/>
          <w:b w:val="false"/>
          <w:bCs w:val="false"/>
          <w:sz w:val="18"/>
          <w:szCs w:val="18"/>
          <w:shd w:fill="auto" w:val="clear"/>
          <w:lang w:val="fr-FR" w:bidi="ar-SA"/>
        </w:rPr>
        <w:t xml:space="preserve"> </w:t>
      </w:r>
      <w:r>
        <w:rPr>
          <w:rFonts w:ascii="Times New Roman" w:hAnsi="Times New Roman"/>
          <w:b w:val="false"/>
          <w:i w:val="false"/>
          <w:color w:val="000000"/>
          <w:sz w:val="18"/>
          <w:szCs w:val="18"/>
          <w:shd w:fill="auto" w:val="clear"/>
          <w:lang w:val="fr-FR" w:bidi="ar-SA"/>
        </w:rPr>
        <w:t xml:space="preserve">Service de Rhumatologie Hôpital de District de Bogodogo, Ouagadougou, </w:t>
      </w:r>
      <w:r>
        <w:rPr>
          <w:rFonts w:ascii="Times New Roman" w:hAnsi="Times New Roman"/>
          <w:b w:val="false"/>
          <w:i w:val="false"/>
          <w:color w:val="000000"/>
          <w:sz w:val="18"/>
          <w:szCs w:val="18"/>
          <w:shd w:fill="auto" w:val="clear"/>
          <w:lang w:val="fr-FR" w:bidi="ar-SA"/>
        </w:rPr>
        <w:t>Burkina Faso</w:t>
      </w:r>
    </w:p>
    <w:p>
      <w:pPr>
        <w:pStyle w:val="Address"/>
        <w:bidi w:val="0"/>
        <w:rPr>
          <w:rFonts w:ascii="Times New Roman" w:hAnsi="Times New Roman"/>
          <w:b w:val="false"/>
          <w:b w:val="false"/>
          <w:bCs w:val="false"/>
          <w:sz w:val="18"/>
          <w:szCs w:val="18"/>
          <w:shd w:fill="auto" w:val="clear"/>
          <w:lang w:val="fr-FR" w:bidi="ar-SA"/>
        </w:rPr>
      </w:pPr>
      <w:r>
        <w:rPr>
          <w:rFonts w:ascii="Times New Roman" w:hAnsi="Times New Roman"/>
          <w:b w:val="false"/>
          <w:bCs w:val="false"/>
          <w:sz w:val="18"/>
          <w:szCs w:val="18"/>
          <w:shd w:fill="auto" w:val="clear"/>
          <w:vertAlign w:val="superscript"/>
          <w:lang w:val="fr-FR" w:bidi="ar-SA"/>
        </w:rPr>
        <w:t xml:space="preserve">2 </w:t>
      </w:r>
      <w:r>
        <w:rPr>
          <w:rFonts w:ascii="Times New Roman" w:hAnsi="Times New Roman"/>
          <w:b w:val="false"/>
          <w:bCs w:val="false"/>
          <w:position w:val="0"/>
          <w:sz w:val="18"/>
          <w:sz w:val="18"/>
          <w:szCs w:val="18"/>
          <w:shd w:fill="auto" w:val="clear"/>
          <w:vertAlign w:val="baseline"/>
          <w:lang w:val="fr-FR" w:bidi="ar-SA"/>
        </w:rPr>
        <w:t xml:space="preserve">Service de Neurochirurgie CHU Yalgado Ouédraogo, Ouagadougou, </w:t>
      </w:r>
      <w:r>
        <w:rPr>
          <w:rFonts w:ascii="Times New Roman" w:hAnsi="Times New Roman"/>
          <w:b w:val="false"/>
          <w:bCs w:val="false"/>
          <w:position w:val="0"/>
          <w:sz w:val="18"/>
          <w:sz w:val="18"/>
          <w:szCs w:val="18"/>
          <w:shd w:fill="auto" w:val="clear"/>
          <w:vertAlign w:val="baseline"/>
          <w:lang w:val="fr-FR" w:bidi="ar-SA"/>
        </w:rPr>
        <w:t>Burkina Faso</w:t>
      </w:r>
    </w:p>
    <w:p>
      <w:pPr>
        <w:pStyle w:val="Address"/>
        <w:bidi w:val="0"/>
        <w:jc w:val="center"/>
        <w:rPr>
          <w:rFonts w:ascii="Times New Roman" w:hAnsi="Times New Roman"/>
          <w:b w:val="false"/>
          <w:b w:val="false"/>
          <w:bCs w:val="false"/>
          <w:sz w:val="18"/>
          <w:szCs w:val="18"/>
          <w:shd w:fill="auto" w:val="clear"/>
          <w:lang w:val="fr-FR" w:bidi="ar-SA"/>
        </w:rPr>
      </w:pPr>
      <w:r>
        <w:rPr>
          <w:rFonts w:eastAsia="Calibri" w:cs="Times New Roman" w:ascii="Times New Roman" w:hAnsi="Times New Roman"/>
          <w:b w:val="false"/>
          <w:bCs w:val="false"/>
          <w:color w:val="000000"/>
          <w:sz w:val="18"/>
          <w:szCs w:val="18"/>
          <w:shd w:fill="auto" w:val="clear"/>
          <w:vertAlign w:val="superscript"/>
          <w:lang w:val="fr-FR" w:bidi="ar-SA"/>
        </w:rPr>
        <w:t xml:space="preserve">3 </w:t>
      </w:r>
      <w:r>
        <w:rPr>
          <w:rFonts w:eastAsia="Calibri" w:cs="Times New Roman" w:ascii="TimesNewRomanPSMT" w:hAnsi="TimesNewRomanPSMT"/>
          <w:b w:val="false"/>
          <w:bCs w:val="false"/>
          <w:color w:val="000000"/>
          <w:sz w:val="18"/>
          <w:szCs w:val="18"/>
          <w:shd w:fill="auto" w:val="clear"/>
          <w:vertAlign w:val="superscript"/>
          <w:lang w:val="fr-FR" w:bidi="ar-SA"/>
        </w:rPr>
        <w:t xml:space="preserve"> </w:t>
      </w:r>
      <w:r>
        <w:rPr>
          <w:rFonts w:ascii="Times New Roman" w:hAnsi="Times New Roman"/>
          <w:b w:val="false"/>
          <w:bCs w:val="false"/>
          <w:i w:val="false"/>
          <w:color w:val="000000"/>
          <w:sz w:val="18"/>
          <w:szCs w:val="18"/>
          <w:shd w:fill="auto" w:val="clear"/>
          <w:lang w:val="fr-FR" w:bidi="ar-SA"/>
        </w:rPr>
        <w:t>Service de Rhumatologie CHU Sylvanus Olympio, Lomé, Togo</w:t>
      </w:r>
    </w:p>
    <w:p>
      <w:pPr>
        <w:pStyle w:val="Address"/>
        <w:bidi w:val="0"/>
        <w:jc w:val="center"/>
        <w:rPr>
          <w:rFonts w:ascii="Times New Roman" w:hAnsi="Times New Roman"/>
          <w:b w:val="false"/>
          <w:b w:val="false"/>
          <w:bCs w:val="false"/>
          <w:sz w:val="18"/>
          <w:szCs w:val="18"/>
          <w:shd w:fill="auto" w:val="clear"/>
          <w:vertAlign w:val="superscript"/>
          <w:lang w:val="fr-FR" w:bidi="ar-SA"/>
        </w:rPr>
      </w:pPr>
      <w:r>
        <w:rPr>
          <w:rFonts w:ascii="Times New Roman" w:hAnsi="Times New Roman"/>
          <w:b w:val="false"/>
          <w:bCs w:val="false"/>
          <w:i w:val="false"/>
          <w:color w:val="000000"/>
          <w:sz w:val="18"/>
          <w:szCs w:val="18"/>
          <w:shd w:fill="auto" w:val="clear"/>
          <w:vertAlign w:val="superscript"/>
          <w:lang w:val="fr-FR" w:bidi="ar-SA"/>
        </w:rPr>
        <w:t xml:space="preserve">4 </w:t>
      </w:r>
      <w:r>
        <w:rPr>
          <w:rFonts w:ascii="Times New Roman" w:hAnsi="Times New Roman"/>
          <w:b w:val="false"/>
          <w:bCs w:val="false"/>
          <w:i w:val="false"/>
          <w:color w:val="000000"/>
          <w:position w:val="0"/>
          <w:sz w:val="18"/>
          <w:sz w:val="18"/>
          <w:szCs w:val="18"/>
          <w:shd w:fill="auto" w:val="clear"/>
          <w:vertAlign w:val="baseline"/>
          <w:lang w:val="fr-FR" w:bidi="ar-SA"/>
        </w:rPr>
        <w:t>Service de Médecine Interne, CHU Yalgado Ouédraogo, Ouagadougou, Burkina Faso</w:t>
      </w:r>
    </w:p>
    <w:p>
      <w:pPr>
        <w:pStyle w:val="Address"/>
        <w:bidi w:val="0"/>
        <w:jc w:val="center"/>
        <w:rPr>
          <w:shd w:fill="auto" w:val="clear"/>
        </w:rPr>
      </w:pPr>
      <w:r>
        <w:rPr>
          <w:rFonts w:ascii="Times New Roman" w:hAnsi="Times New Roman"/>
          <w:b w:val="false"/>
          <w:bCs w:val="false"/>
          <w:i w:val="false"/>
          <w:color w:val="000000"/>
          <w:sz w:val="18"/>
          <w:szCs w:val="18"/>
          <w:shd w:fill="auto" w:val="clear"/>
          <w:vertAlign w:val="superscript"/>
          <w:lang w:val="fr-FR" w:bidi="ar-SA"/>
        </w:rPr>
        <w:t>5</w:t>
      </w:r>
      <w:r>
        <w:rPr>
          <w:rFonts w:ascii="Times New Roman" w:hAnsi="Times New Roman"/>
          <w:b w:val="false"/>
          <w:bCs w:val="false"/>
          <w:i w:val="false"/>
          <w:color w:val="000000"/>
          <w:position w:val="0"/>
          <w:sz w:val="18"/>
          <w:sz w:val="18"/>
          <w:szCs w:val="18"/>
          <w:shd w:fill="auto" w:val="clear"/>
          <w:vertAlign w:val="baseline"/>
          <w:lang w:val="fr-FR" w:bidi="ar-SA"/>
        </w:rPr>
        <w:t xml:space="preserve"> </w:t>
      </w:r>
      <w:r>
        <w:rPr>
          <w:rFonts w:ascii="Times New Roman" w:hAnsi="Times New Roman"/>
          <w:b w:val="false"/>
          <w:i w:val="false"/>
          <w:color w:val="000000"/>
          <w:sz w:val="18"/>
          <w:szCs w:val="18"/>
          <w:shd w:fill="auto" w:val="clear"/>
        </w:rPr>
        <w:t>Service d’Imagérie médicale, Hôpital de District de Bogodogo</w:t>
      </w:r>
      <w:r>
        <w:rPr>
          <w:rFonts w:ascii="Times New Roman" w:hAnsi="Times New Roman"/>
          <w:b w:val="false"/>
          <w:bCs w:val="false"/>
          <w:i w:val="false"/>
          <w:color w:val="000000"/>
          <w:position w:val="0"/>
          <w:sz w:val="18"/>
          <w:sz w:val="18"/>
          <w:szCs w:val="18"/>
          <w:shd w:fill="auto" w:val="clear"/>
          <w:vertAlign w:val="baseline"/>
          <w:lang w:val="fr-FR" w:bidi="ar-SA"/>
        </w:rPr>
        <w:t>, Ouagadougou, Burkina Faso</w:t>
      </w:r>
    </w:p>
    <w:p>
      <w:pPr>
        <w:pStyle w:val="Normal"/>
        <w:bidi w:val="0"/>
        <w:spacing w:lineRule="atLeast" w:line="280" w:before="240" w:after="240"/>
        <w:contextualSpacing/>
        <w:jc w:val="left"/>
        <w:rPr>
          <w:rFonts w:ascii="Times New Roman" w:hAnsi="Times New Roman"/>
          <w:sz w:val="20"/>
          <w:szCs w:val="20"/>
          <w:shd w:fill="auto" w:val="clear"/>
          <w:lang w:val="fr-FR" w:bidi="ar-SA"/>
        </w:rPr>
      </w:pPr>
      <w:r>
        <w:rPr>
          <w:rFonts w:ascii="Times New Roman" w:hAnsi="Times New Roman"/>
          <w:b/>
          <w:sz w:val="20"/>
          <w:szCs w:val="20"/>
          <w:shd w:fill="auto" w:val="clear"/>
          <w:lang w:val="fr-FR" w:bidi="ar-SA"/>
        </w:rPr>
        <w:t xml:space="preserve">* </w:t>
      </w:r>
      <w:r>
        <w:rPr>
          <w:rFonts w:eastAsia="Calibri" w:cs="Times New Roman" w:ascii="Times New Roman" w:hAnsi="Times New Roman"/>
          <w:b/>
          <w:color w:val="000000"/>
          <w:sz w:val="20"/>
          <w:szCs w:val="20"/>
          <w:shd w:fill="auto" w:val="clear"/>
          <w:lang w:val="fr-FR" w:bidi="ar-SA"/>
        </w:rPr>
        <w:t>Auteur correspondant:</w:t>
      </w:r>
      <w:r>
        <w:rPr>
          <w:rFonts w:ascii="Times New Roman" w:hAnsi="Times New Roman"/>
          <w:sz w:val="20"/>
          <w:szCs w:val="20"/>
          <w:shd w:fill="auto" w:val="clear"/>
          <w:lang w:val="fr-FR" w:bidi="ar-SA"/>
        </w:rPr>
        <w:t xml:space="preserve"> </w:t>
      </w:r>
      <w:r>
        <w:rPr>
          <w:rFonts w:ascii="Times New Roman" w:hAnsi="Times New Roman"/>
          <w:sz w:val="20"/>
          <w:szCs w:val="20"/>
          <w:shd w:fill="auto" w:val="clear"/>
          <w:lang w:val="fr-FR" w:bidi="ar-SA"/>
        </w:rPr>
        <w:t>Service de Rhumatologie Hôpital de District de Bogodogo</w:t>
      </w:r>
      <w:r>
        <w:rPr>
          <w:rFonts w:ascii="Times New Roman" w:hAnsi="Times New Roman"/>
          <w:sz w:val="20"/>
          <w:szCs w:val="20"/>
          <w:shd w:fill="auto" w:val="clear"/>
          <w:lang w:val="fr-FR" w:bidi="ar-SA"/>
        </w:rPr>
        <w:t xml:space="preserve">, </w:t>
      </w:r>
      <w:r>
        <w:rPr>
          <w:rFonts w:ascii="Times New Roman" w:hAnsi="Times New Roman"/>
          <w:sz w:val="20"/>
          <w:szCs w:val="20"/>
          <w:shd w:fill="auto" w:val="clear"/>
          <w:lang w:val="fr-FR" w:bidi="ar-SA"/>
        </w:rPr>
        <w:t>09 BP 88 Ouagadougou 09</w:t>
      </w:r>
      <w:r>
        <w:rPr>
          <w:rFonts w:ascii="Times New Roman" w:hAnsi="Times New Roman"/>
          <w:sz w:val="20"/>
          <w:szCs w:val="20"/>
          <w:shd w:fill="auto" w:val="clear"/>
          <w:lang w:val="fr-FR" w:bidi="ar-SA"/>
        </w:rPr>
        <w:t xml:space="preserve">, </w:t>
        <w:tab/>
        <w:tab/>
        <w:tab/>
        <w:tab/>
      </w:r>
      <w:r>
        <w:rPr>
          <w:rFonts w:ascii="Times New Roman" w:hAnsi="Times New Roman"/>
          <w:sz w:val="20"/>
          <w:szCs w:val="20"/>
          <w:shd w:fill="auto" w:val="clear"/>
          <w:lang w:val="fr-FR" w:bidi="ar-SA"/>
        </w:rPr>
        <w:t xml:space="preserve">Burkina Faso </w:t>
      </w:r>
    </w:p>
    <w:p>
      <w:pPr>
        <w:pStyle w:val="Normal"/>
        <w:bidi w:val="0"/>
        <w:spacing w:lineRule="atLeast" w:line="280" w:before="240" w:after="240"/>
        <w:contextualSpacing/>
        <w:jc w:val="left"/>
        <w:rPr>
          <w:rFonts w:ascii="Times New Roman" w:hAnsi="Times New Roman"/>
          <w:sz w:val="20"/>
          <w:szCs w:val="20"/>
          <w:shd w:fill="auto" w:val="clear"/>
          <w:lang w:val="fr-FR" w:bidi="ar-SA"/>
        </w:rPr>
      </w:pPr>
      <w:r>
        <w:rPr>
          <w:rFonts w:ascii="Times New Roman" w:hAnsi="Times New Roman"/>
          <w:sz w:val="20"/>
          <w:szCs w:val="20"/>
          <w:shd w:fill="auto" w:val="clear"/>
          <w:lang w:val="fr-FR" w:bidi="ar-SA"/>
        </w:rPr>
        <w:tab/>
        <w:tab/>
        <w:tab/>
        <w:t xml:space="preserve">Email: </w:t>
      </w:r>
      <w:r>
        <w:rPr>
          <w:rFonts w:ascii="Times New Roman" w:hAnsi="Times New Roman"/>
          <w:sz w:val="20"/>
          <w:szCs w:val="20"/>
          <w:shd w:fill="auto" w:val="clear"/>
          <w:lang w:val="fr-FR" w:bidi="ar-SA"/>
        </w:rPr>
        <w:t>t_joelle@hotmail.com</w:t>
      </w:r>
    </w:p>
    <w:p>
      <w:pPr>
        <w:pStyle w:val="Normal"/>
        <w:bidi w:val="0"/>
        <w:spacing w:lineRule="atLeast" w:line="280" w:before="240" w:after="240"/>
        <w:contextualSpacing/>
        <w:jc w:val="left"/>
        <w:rPr>
          <w:rFonts w:ascii="Times New Roman" w:hAnsi="Times New Roman"/>
          <w:b w:val="false"/>
          <w:b w:val="false"/>
          <w:bCs w:val="false"/>
          <w:sz w:val="20"/>
          <w:szCs w:val="20"/>
          <w:shd w:fill="auto" w:val="clear"/>
          <w:lang w:val="fr-FR" w:bidi="ar-SA"/>
        </w:rPr>
      </w:pPr>
      <w:r>
        <w:rPr>
          <w:rFonts w:eastAsia="Calibri" w:cs="Times New Roman" w:ascii="Times New Roman" w:hAnsi="Times New Roman"/>
          <w:b w:val="false"/>
          <w:bCs w:val="false"/>
          <w:color w:val="000000"/>
          <w:sz w:val="20"/>
          <w:szCs w:val="20"/>
          <w:shd w:fill="auto" w:val="clear"/>
          <w:lang w:val="fr-FR" w:bidi="ar-SA"/>
        </w:rPr>
        <w:tab/>
        <w:tab/>
        <w:tab/>
        <w:t>Tel: +(</w:t>
      </w:r>
      <w:r>
        <w:rPr>
          <w:rFonts w:eastAsia="Calibri" w:cs="Times New Roman" w:ascii="Times New Roman" w:hAnsi="Times New Roman"/>
          <w:b w:val="false"/>
          <w:bCs w:val="false"/>
          <w:color w:val="000000"/>
          <w:sz w:val="20"/>
          <w:szCs w:val="20"/>
          <w:shd w:fill="auto" w:val="clear"/>
          <w:lang w:val="fr-FR" w:bidi="ar-SA"/>
        </w:rPr>
        <w:t>226</w:t>
      </w:r>
      <w:r>
        <w:rPr>
          <w:rFonts w:eastAsia="Calibri" w:cs="Times New Roman" w:ascii="Times New Roman" w:hAnsi="Times New Roman"/>
          <w:b w:val="false"/>
          <w:bCs w:val="false"/>
          <w:color w:val="000000"/>
          <w:sz w:val="20"/>
          <w:szCs w:val="20"/>
          <w:shd w:fill="auto" w:val="clear"/>
          <w:lang w:val="fr-FR" w:bidi="ar-SA"/>
        </w:rPr>
        <w:t>)</w:t>
      </w:r>
      <w:r>
        <w:rPr>
          <w:rFonts w:eastAsia="Calibri" w:cs="Times New Roman" w:ascii="Times New Roman" w:hAnsi="Times New Roman"/>
          <w:b w:val="false"/>
          <w:bCs w:val="false"/>
          <w:color w:val="000000"/>
          <w:sz w:val="20"/>
          <w:szCs w:val="20"/>
          <w:shd w:fill="auto" w:val="clear"/>
          <w:lang w:val="fr-FR" w:bidi="ar-SA"/>
        </w:rPr>
        <w:t>- (</w:t>
      </w:r>
      <w:r>
        <w:rPr>
          <w:rFonts w:eastAsia="Calibri" w:cs="Times New Roman" w:ascii="Times New Roman" w:hAnsi="Times New Roman"/>
          <w:b w:val="false"/>
          <w:bCs w:val="false"/>
          <w:color w:val="000000"/>
          <w:sz w:val="20"/>
          <w:szCs w:val="20"/>
          <w:shd w:fill="auto" w:val="clear"/>
          <w:lang w:val="fr-FR" w:bidi="ar-SA"/>
        </w:rPr>
        <w:t>79 65 65 02)</w:t>
      </w:r>
    </w:p>
    <w:p>
      <w:pPr>
        <w:pStyle w:val="Normal"/>
        <w:bidi w:val="0"/>
        <w:spacing w:lineRule="atLeast" w:line="280" w:before="240" w:after="240"/>
        <w:contextualSpacing/>
        <w:jc w:val="left"/>
        <w:rPr>
          <w:rFonts w:eastAsia="Calibri" w:cs="Times New Roman"/>
          <w:color w:val="auto"/>
        </w:rPr>
      </w:pPr>
      <w:r>
        <w:rPr>
          <w:rFonts w:ascii="Times New Roman" w:hAnsi="Times New Roman"/>
          <w:b w:val="false"/>
          <w:bCs w:val="false"/>
          <w:sz w:val="20"/>
          <w:szCs w:val="20"/>
          <w:shd w:fill="auto" w:val="clear"/>
          <w:lang w:val="fr-FR" w:bidi="ar-SA"/>
        </w:rPr>
      </w:r>
    </w:p>
    <w:p>
      <w:pPr>
        <w:pStyle w:val="Normal"/>
        <w:bidi w:val="0"/>
        <w:spacing w:lineRule="atLeast" w:line="280" w:before="240" w:after="240"/>
        <w:contextualSpacing/>
        <w:jc w:val="center"/>
        <w:rPr>
          <w:rFonts w:ascii="Times New Roman" w:hAnsi="Times New Roman"/>
          <w:b w:val="false"/>
          <w:b w:val="false"/>
          <w:bCs w:val="false"/>
          <w:sz w:val="20"/>
          <w:szCs w:val="20"/>
          <w:shd w:fill="auto" w:val="clear"/>
          <w:lang w:val="fr-FR" w:bidi="ar-SA"/>
        </w:rPr>
      </w:pPr>
      <w:r>
        <w:rPr>
          <w:rFonts w:eastAsia="Calibri" w:cs="Times New Roman" w:ascii="Times New Roman" w:hAnsi="Times New Roman"/>
          <w:b w:val="false"/>
          <w:bCs w:val="false"/>
          <w:i/>
          <w:iCs/>
          <w:color w:val="000000"/>
          <w:sz w:val="20"/>
          <w:szCs w:val="20"/>
          <w:shd w:fill="auto" w:val="clear"/>
          <w:lang w:val="fr-FR" w:bidi="ar-SA"/>
        </w:rPr>
        <w:t>R</w:t>
      </w:r>
      <w:r>
        <w:rPr>
          <w:rFonts w:eastAsia="Calibri" w:cs="Times New Roman" w:ascii="Times New Roman" w:hAnsi="Times New Roman"/>
          <w:b w:val="false"/>
          <w:bCs w:val="false"/>
          <w:i/>
          <w:iCs/>
          <w:color w:val="000000"/>
          <w:sz w:val="20"/>
          <w:szCs w:val="20"/>
          <w:shd w:fill="auto" w:val="clear"/>
          <w:lang w:val="fr-FR" w:bidi="ar-SA"/>
        </w:rPr>
        <w:t>eçu le 14 janvier 2017, accepté le 18 juillet 2017 et mise en ligne le 31 août 2021</w:t>
      </w:r>
      <w:r>
        <w:rPr>
          <w:rFonts w:eastAsia="Calibri" w:cs="Times New Roman" w:ascii="Times New Roman" w:hAnsi="Times New Roman"/>
          <w:b w:val="false"/>
          <w:bCs w:val="false"/>
          <w:color w:val="000000"/>
          <w:sz w:val="20"/>
          <w:szCs w:val="20"/>
          <w:shd w:fill="auto" w:val="clear"/>
          <w:lang w:val="fr-FR" w:bidi="ar-SA"/>
        </w:rPr>
        <w:t xml:space="preserve">                                                                                              </w:t>
      </w:r>
    </w:p>
    <w:p>
      <w:pPr>
        <w:pStyle w:val="Normal"/>
        <w:bidi w:val="0"/>
        <w:spacing w:lineRule="atLeast" w:line="280" w:before="240" w:after="240"/>
        <w:contextualSpacing/>
        <w:jc w:val="center"/>
        <w:rPr>
          <w:rFonts w:ascii="Times New Roman" w:hAnsi="Times New Roman"/>
          <w:b w:val="false"/>
          <w:b w:val="false"/>
          <w:bCs w:val="false"/>
          <w:sz w:val="20"/>
          <w:szCs w:val="20"/>
          <w:shd w:fill="auto" w:val="clear"/>
          <w:lang w:val="fr-FR" w:bidi="ar-SA"/>
        </w:rPr>
      </w:pPr>
      <w:r>
        <w:rPr>
          <w:rFonts w:eastAsia="Calibri" w:cs="Times New Roman" w:ascii="Times New Roman" w:hAnsi="Times New Roman"/>
          <w:b w:val="false"/>
          <w:bCs w:val="false"/>
          <w:i/>
          <w:iCs/>
          <w:color w:val="000000"/>
          <w:sz w:val="20"/>
          <w:szCs w:val="20"/>
          <w:shd w:fill="auto" w:val="clear"/>
          <w:lang w:val="fr-FR" w:bidi="ar-SA"/>
        </w:rPr>
        <w:t>C</w:t>
      </w:r>
      <w:r>
        <w:rPr>
          <w:rFonts w:eastAsia="Calibri" w:cs="Times New Roman" w:ascii="Times New Roman" w:hAnsi="Times New Roman"/>
          <w:b w:val="false"/>
          <w:bCs w:val="false"/>
          <w:i/>
          <w:iCs/>
          <w:color w:val="000000"/>
          <w:sz w:val="20"/>
          <w:szCs w:val="20"/>
          <w:shd w:fill="auto" w:val="clear"/>
          <w:lang w:val="fr-FR" w:bidi="ar-SA"/>
        </w:rPr>
        <w:t xml:space="preserve">et article est distribué suivant les termes et les conditions de la licence CC-BY (http://creativecommons.org/licenses/by/4.0/deed.fr) </w:t>
      </w:r>
      <w:r>
        <w:rPr>
          <w:rFonts w:eastAsia="Calibri" w:cs="Times New Roman" w:ascii="Times New Roman" w:hAnsi="Times New Roman"/>
          <w:b w:val="false"/>
          <w:bCs w:val="false"/>
          <w:color w:val="000000"/>
          <w:sz w:val="20"/>
          <w:szCs w:val="20"/>
          <w:shd w:fill="auto" w:val="clear"/>
          <w:lang w:val="fr-FR" w:bidi="ar-SA"/>
        </w:rPr>
        <w:t xml:space="preserve"> </w:t>
      </w:r>
    </w:p>
    <w:p>
      <w:pPr>
        <w:pStyle w:val="Abstract"/>
        <w:bidi w:val="0"/>
        <w:spacing w:before="0" w:after="0"/>
        <w:contextualSpacing/>
        <w:jc w:val="both"/>
        <w:rPr>
          <w:shd w:fill="auto" w:val="clear"/>
        </w:rPr>
      </w:pPr>
      <w:r>
        <w:rPr>
          <w:rFonts w:eastAsia="Calibri" w:cs="Times New Roman" w:ascii="Times New Roman" w:hAnsi="Times New Roman"/>
          <w:b/>
          <w:color w:val="C9211E"/>
          <w:sz w:val="18"/>
          <w:szCs w:val="20"/>
          <w:shd w:fill="auto" w:val="clear"/>
          <w:lang w:val="fr-FR" w:bidi="ar-SA"/>
        </w:rPr>
        <w:t>Introduction</w:t>
      </w:r>
      <w:r>
        <w:rPr>
          <w:b/>
          <w:color w:val="C9211E"/>
          <w:shd w:fill="auto" w:val="clear"/>
          <w:lang w:val="fr-FR" w:bidi="ar-SA"/>
        </w:rPr>
        <w:t>:</w:t>
      </w:r>
      <w:r>
        <w:rPr>
          <w:shd w:fill="auto" w:val="clear"/>
          <w:lang w:val="fr-FR" w:bidi="ar-SA"/>
        </w:rPr>
        <w:t xml:space="preserve"> </w:t>
      </w:r>
      <w:r>
        <w:rPr>
          <w:rFonts w:ascii="Times New Roman" w:hAnsi="Times New Roman"/>
          <w:sz w:val="18"/>
          <w:szCs w:val="18"/>
          <w:shd w:fill="auto" w:val="clear"/>
          <w:lang w:val="fr-FR" w:bidi="ar-SA"/>
        </w:rPr>
        <w:t>l</w:t>
      </w:r>
      <w:r>
        <w:rPr>
          <w:rFonts w:ascii="Times New Roman" w:hAnsi="Times New Roman"/>
          <w:b w:val="false"/>
          <w:i w:val="false"/>
          <w:color w:val="000000"/>
          <w:sz w:val="18"/>
          <w:szCs w:val="18"/>
          <w:shd w:fill="auto" w:val="clear"/>
        </w:rPr>
        <w:t>es atteintes ostéo-articulaires infectieuses son</w:t>
      </w:r>
      <w:r>
        <w:rPr>
          <w:rFonts w:ascii="Times New Roman" w:hAnsi="Times New Roman"/>
          <w:b w:val="false"/>
          <w:i w:val="false"/>
          <w:color w:val="000000"/>
          <w:sz w:val="18"/>
          <w:szCs w:val="18"/>
          <w:shd w:fill="auto" w:val="clear"/>
        </w:rPr>
        <w:t xml:space="preserve">t </w:t>
      </w:r>
      <w:r>
        <w:rPr>
          <w:rFonts w:ascii="Times New Roman" w:hAnsi="Times New Roman"/>
          <w:b w:val="false"/>
          <w:i w:val="false"/>
          <w:color w:val="000000"/>
          <w:sz w:val="18"/>
          <w:szCs w:val="18"/>
          <w:shd w:fill="auto" w:val="clear"/>
        </w:rPr>
        <w:t xml:space="preserve">un peu plus fréquentes chez les patients séropositifs, du fait du terrain ou du déficit immunitaire, voire des deux. Le but de notre étude était de comparer les aspects cliniques, paracliniques et évolutifs du mal de Pott chez les patients </w:t>
      </w:r>
      <w:r>
        <w:rPr>
          <w:rFonts w:ascii="Times New Roman" w:hAnsi="Times New Roman"/>
          <w:b w:val="false"/>
          <w:i w:val="false"/>
          <w:color w:val="000000"/>
          <w:sz w:val="18"/>
          <w:szCs w:val="18"/>
          <w:shd w:fill="auto" w:val="clear"/>
          <w:lang w:val="fr-FR" w:bidi="ar-SA"/>
        </w:rPr>
        <w:t>séropositifs et séronégatifs pour le VIH.</w:t>
      </w:r>
    </w:p>
    <w:p>
      <w:pPr>
        <w:pStyle w:val="Abstract"/>
        <w:bidi w:val="0"/>
        <w:jc w:val="both"/>
        <w:rPr>
          <w:shd w:fill="auto" w:val="clear"/>
        </w:rPr>
      </w:pPr>
      <w:r>
        <w:rPr>
          <w:b/>
          <w:color w:val="C9211E"/>
          <w:shd w:fill="auto" w:val="clear"/>
          <w:lang w:val="fr-FR" w:bidi="ar-SA"/>
        </w:rPr>
        <w:t>M</w:t>
      </w:r>
      <w:r>
        <w:rPr>
          <w:b/>
          <w:color w:val="C9211E"/>
          <w:shd w:fill="auto" w:val="clear"/>
          <w:lang w:val="fr-FR" w:bidi="ar-SA"/>
        </w:rPr>
        <w:t>atériels et méthodes</w:t>
      </w:r>
      <w:r>
        <w:rPr>
          <w:b/>
          <w:color w:val="C9211E"/>
          <w:shd w:fill="auto" w:val="clear"/>
          <w:lang w:val="fr-FR" w:bidi="ar-SA"/>
        </w:rPr>
        <w:t>:</w:t>
      </w:r>
      <w:r>
        <w:rPr>
          <w:shd w:fill="auto" w:val="clear"/>
          <w:lang w:val="fr-FR" w:bidi="ar-SA"/>
        </w:rPr>
        <w:t xml:space="preserve"> </w:t>
      </w:r>
      <w:r>
        <w:rPr>
          <w:rFonts w:ascii="TimesNewRomanPSMT" w:hAnsi="TimesNewRomanPSMT"/>
          <w:shd w:fill="auto" w:val="clear"/>
        </w:rPr>
        <w:t xml:space="preserve"> </w:t>
      </w:r>
      <w:r>
        <w:rPr>
          <w:rFonts w:ascii="Times New Roman" w:hAnsi="Times New Roman"/>
          <w:b w:val="false"/>
          <w:i w:val="false"/>
          <w:color w:val="000000"/>
          <w:sz w:val="18"/>
          <w:szCs w:val="18"/>
          <w:shd w:fill="auto" w:val="clear"/>
        </w:rPr>
        <w:t xml:space="preserve">étude rétrospective du 01 avril 2008 au 30 mars 2014 dans les services de rhumatologie, neurologie et neurochirurgie du CHU Yalgado Ouédraogo. Etaient inclus les patients chez qui le diagnostic de mal de Pott était retenu. Les patients positifs (VIH+) et négatifs </w:t>
      </w:r>
      <w:r>
        <w:rPr>
          <w:rFonts w:ascii="Times New Roman" w:hAnsi="Times New Roman"/>
          <w:b w:val="false"/>
          <w:i w:val="false"/>
          <w:color w:val="000000"/>
          <w:sz w:val="18"/>
          <w:szCs w:val="18"/>
          <w:shd w:fill="auto" w:val="clear"/>
          <w:lang w:val="fr-FR" w:bidi="ar-SA"/>
        </w:rPr>
        <w:t>(VIH-) pour le VIH ont été comparés.</w:t>
      </w:r>
    </w:p>
    <w:p>
      <w:pPr>
        <w:pStyle w:val="Abstract"/>
        <w:bidi w:val="0"/>
        <w:jc w:val="both"/>
        <w:rPr>
          <w:rFonts w:ascii="Times New Roman" w:hAnsi="Times New Roman"/>
          <w:shd w:fill="auto" w:val="clear"/>
          <w:lang w:val="fr-FR" w:bidi="ar-SA"/>
        </w:rPr>
      </w:pPr>
      <w:r>
        <w:rPr>
          <w:rFonts w:ascii="Times New Roman" w:hAnsi="Times New Roman"/>
          <w:b/>
          <w:color w:val="C9211E"/>
          <w:shd w:fill="auto" w:val="clear"/>
          <w:lang w:val="fr-FR" w:bidi="ar-SA"/>
        </w:rPr>
        <w:t>R</w:t>
      </w:r>
      <w:r>
        <w:rPr>
          <w:rFonts w:ascii="Times New Roman" w:hAnsi="Times New Roman"/>
          <w:b/>
          <w:color w:val="C9211E"/>
          <w:shd w:fill="auto" w:val="clear"/>
          <w:lang w:val="fr-FR" w:bidi="ar-SA"/>
        </w:rPr>
        <w:t>ésultats</w:t>
      </w:r>
      <w:r>
        <w:rPr>
          <w:rFonts w:ascii="Times New Roman" w:hAnsi="Times New Roman"/>
          <w:b/>
          <w:color w:val="C9211E"/>
          <w:shd w:fill="auto" w:val="clear"/>
          <w:lang w:val="fr-FR" w:bidi="ar-SA"/>
        </w:rPr>
        <w:t>:</w:t>
      </w:r>
      <w:r>
        <w:rPr>
          <w:rFonts w:ascii="Times New Roman" w:hAnsi="Times New Roman"/>
          <w:b/>
          <w:shd w:fill="auto" w:val="clear"/>
          <w:lang w:val="fr-FR" w:bidi="ar-SA"/>
        </w:rPr>
        <w:t xml:space="preserve"> </w:t>
      </w:r>
      <w:r>
        <w:rPr>
          <w:rFonts w:ascii="Times New Roman" w:hAnsi="Times New Roman"/>
          <w:b w:val="false"/>
          <w:bCs w:val="false"/>
          <w:shd w:fill="auto" w:val="clear"/>
          <w:lang w:val="fr-FR" w:bidi="ar-SA"/>
        </w:rPr>
        <w:t>Quatre-vingt-quatre patients avaient réalisé leur sérologie VIH dont 15 (17,85%) étaient positives. L’âge moyen était de 42.33 ans (VIH+) versus 49 ans (VIH-) (p=0.173). Le sex ratio était de 1.5 chez les VIH+ et de 2.2 chez les VIH- (p=1). Un syndrome rachidien était présent chez 14 patients VIH+ (93%) et 60 patients (86%) VIHprédominant au niveau lombaire (p=1). Quatorze (93.3%) patients VIH+ présentaient au moins un signe de complication neurologique contre 48 (65.5%) patients VIH- (p=0.03). A l’imagerie 12 patients VIH+ (80%) avaient une atteinte pluriétagée contre 19 patients VIH- (27.5%) (p=0,000). Trois décès (13.33%) de patients VIH+ étaient observé contre 1.4% VIH- (p=0.018)..</w:t>
      </w:r>
    </w:p>
    <w:p>
      <w:pPr>
        <w:pStyle w:val="Abstract"/>
        <w:bidi w:val="0"/>
        <w:jc w:val="both"/>
        <w:rPr>
          <w:rFonts w:ascii="Times New Roman" w:hAnsi="Times New Roman"/>
          <w:sz w:val="18"/>
          <w:szCs w:val="18"/>
          <w:shd w:fill="auto" w:val="clear"/>
        </w:rPr>
      </w:pPr>
      <w:r>
        <w:rPr>
          <w:rFonts w:ascii="Times New Roman" w:hAnsi="Times New Roman"/>
          <w:b/>
          <w:color w:val="C9211E"/>
          <w:sz w:val="18"/>
          <w:szCs w:val="18"/>
          <w:shd w:fill="auto" w:val="clear"/>
          <w:lang w:val="fr-FR" w:bidi="ar-SA"/>
        </w:rPr>
        <w:t>Conclusion:</w:t>
      </w:r>
      <w:r>
        <w:rPr>
          <w:rFonts w:ascii="Times New Roman" w:hAnsi="Times New Roman"/>
          <w:sz w:val="18"/>
          <w:szCs w:val="18"/>
          <w:shd w:fill="auto" w:val="clear"/>
          <w:lang w:val="fr-FR" w:bidi="ar-SA"/>
        </w:rPr>
        <w:t xml:space="preserve"> </w:t>
      </w:r>
      <w:r>
        <w:rPr>
          <w:rFonts w:ascii="Times New Roman" w:hAnsi="Times New Roman"/>
          <w:sz w:val="18"/>
          <w:szCs w:val="18"/>
          <w:shd w:fill="auto" w:val="clear"/>
        </w:rPr>
        <w:t xml:space="preserve"> </w:t>
      </w:r>
      <w:r>
        <w:rPr>
          <w:rFonts w:ascii="Times New Roman" w:hAnsi="Times New Roman"/>
          <w:b w:val="false"/>
          <w:i w:val="false"/>
          <w:color w:val="000000"/>
          <w:sz w:val="18"/>
          <w:szCs w:val="18"/>
          <w:shd w:fill="auto" w:val="clear"/>
        </w:rPr>
        <w:t xml:space="preserve">L’âge et le sexe ne semblent pas être associés à l’infection au VIH au cours du mal de Pott. Par contre une atteinte pluri étagée et une mortalité plus élevée ont été observées </w:t>
      </w:r>
      <w:r>
        <w:rPr>
          <w:rFonts w:ascii="Times New Roman" w:hAnsi="Times New Roman"/>
          <w:b w:val="false"/>
          <w:i w:val="false"/>
          <w:color w:val="000000"/>
          <w:sz w:val="18"/>
          <w:szCs w:val="18"/>
          <w:shd w:fill="auto" w:val="clear"/>
          <w:lang w:val="fr-FR" w:bidi="ar-SA"/>
        </w:rPr>
        <w:t>chez les patients VIH+.</w:t>
      </w:r>
    </w:p>
    <w:p>
      <w:pPr>
        <w:pStyle w:val="Keywords"/>
        <w:bidi w:val="0"/>
        <w:spacing w:lineRule="atLeast" w:line="220" w:before="0" w:after="0"/>
        <w:ind w:left="567" w:right="567" w:hanging="0"/>
        <w:jc w:val="left"/>
        <w:rPr>
          <w:rFonts w:ascii="Times New Roman" w:hAnsi="Times New Roman" w:eastAsia="Calibri" w:cs="Times New Roman"/>
          <w:color w:val="auto"/>
          <w:sz w:val="18"/>
          <w:szCs w:val="20"/>
          <w:shd w:fill="auto" w:val="clear"/>
          <w:lang w:val="fr-FR" w:bidi="ar-SA"/>
        </w:rPr>
      </w:pPr>
      <w:r>
        <w:rPr>
          <w:rFonts w:eastAsia="Calibri" w:cs="Times New Roman" w:ascii="Times New Roman" w:hAnsi="Times New Roman"/>
          <w:b/>
          <w:color w:val="C9211E"/>
          <w:sz w:val="18"/>
          <w:szCs w:val="20"/>
          <w:shd w:fill="auto" w:val="clear"/>
          <w:lang w:val="fr-FR" w:bidi="ar-SA"/>
        </w:rPr>
        <w:t>Mots-clés</w:t>
      </w:r>
      <w:r>
        <w:rPr>
          <w:rFonts w:eastAsia="Calibri" w:cs="Times New Roman" w:ascii="Times New Roman" w:hAnsi="Times New Roman"/>
          <w:b/>
          <w:color w:val="C9211E"/>
          <w:sz w:val="18"/>
          <w:szCs w:val="20"/>
          <w:shd w:fill="auto" w:val="clear"/>
          <w:lang w:val="fr-FR" w:bidi="ar-SA"/>
        </w:rPr>
        <w:t>:</w:t>
      </w:r>
      <w:r>
        <w:rPr>
          <w:rFonts w:eastAsia="Calibri" w:cs="Times New Roman" w:ascii="Times New Roman" w:hAnsi="Times New Roman"/>
          <w:b/>
          <w:i/>
          <w:color w:val="000000"/>
          <w:sz w:val="18"/>
          <w:szCs w:val="20"/>
          <w:shd w:fill="auto" w:val="clear"/>
          <w:lang w:val="fr-FR" w:bidi="ar-SA"/>
        </w:rPr>
        <w:t xml:space="preserve"> </w:t>
      </w:r>
      <w:r>
        <w:rPr>
          <w:rFonts w:eastAsia="Calibri" w:cs="Times New Roman" w:ascii="Times New Roman" w:hAnsi="Times New Roman"/>
          <w:b w:val="false"/>
          <w:bCs w:val="false"/>
          <w:i/>
          <w:color w:val="000000"/>
          <w:sz w:val="18"/>
          <w:szCs w:val="20"/>
          <w:shd w:fill="auto" w:val="clear"/>
          <w:lang w:val="fr-FR" w:bidi="ar-SA"/>
        </w:rPr>
        <w:t>Spondylodiscite</w:t>
      </w:r>
      <w:r>
        <w:rPr>
          <w:rFonts w:eastAsia="Calibri" w:cs="Times New Roman" w:ascii="Times New Roman" w:hAnsi="Times New Roman"/>
          <w:b w:val="false"/>
          <w:bCs w:val="false"/>
          <w:color w:val="000000"/>
          <w:sz w:val="18"/>
          <w:szCs w:val="20"/>
          <w:shd w:fill="auto" w:val="clear"/>
          <w:lang w:val="fr-FR" w:bidi="ar-SA"/>
        </w:rPr>
        <w:t xml:space="preserve">, </w:t>
      </w:r>
      <w:r>
        <w:rPr>
          <w:rFonts w:eastAsia="Calibri" w:cs="Times New Roman" w:ascii="Times New Roman" w:hAnsi="Times New Roman"/>
          <w:b w:val="false"/>
          <w:bCs w:val="false"/>
          <w:color w:val="000000"/>
          <w:sz w:val="18"/>
          <w:szCs w:val="20"/>
          <w:shd w:fill="auto" w:val="clear"/>
          <w:lang w:val="fr-FR" w:bidi="ar-SA"/>
        </w:rPr>
        <w:t>Mal de Pott</w:t>
      </w:r>
      <w:r>
        <w:rPr>
          <w:rFonts w:eastAsia="Calibri" w:cs="Times New Roman" w:ascii="Times New Roman" w:hAnsi="Times New Roman"/>
          <w:b w:val="false"/>
          <w:bCs w:val="false"/>
          <w:color w:val="000000"/>
          <w:sz w:val="18"/>
          <w:szCs w:val="20"/>
          <w:shd w:fill="auto" w:val="clear"/>
          <w:lang w:val="fr-FR" w:bidi="ar-SA"/>
        </w:rPr>
        <w:t xml:space="preserve">, </w:t>
      </w:r>
      <w:r>
        <w:rPr>
          <w:rFonts w:eastAsia="Calibri" w:cs="Times New Roman" w:ascii="Times New Roman" w:hAnsi="Times New Roman"/>
          <w:b w:val="false"/>
          <w:bCs w:val="false"/>
          <w:color w:val="000000"/>
          <w:sz w:val="18"/>
          <w:szCs w:val="20"/>
          <w:shd w:fill="auto" w:val="clear"/>
          <w:lang w:val="fr-FR" w:bidi="ar-SA"/>
        </w:rPr>
        <w:t>VIH, Burkina Faso</w:t>
      </w:r>
      <w:r>
        <w:rPr>
          <w:rFonts w:eastAsia="Calibri" w:cs="Times New Roman" w:ascii="Times New Roman" w:hAnsi="Times New Roman"/>
          <w:b w:val="false"/>
          <w:bCs w:val="false"/>
          <w:color w:val="000000"/>
          <w:sz w:val="18"/>
          <w:szCs w:val="20"/>
          <w:shd w:fill="auto" w:val="clear"/>
          <w:lang w:val="fr-FR" w:bidi="ar-SA"/>
        </w:rPr>
        <w:t xml:space="preserve">. </w:t>
      </w:r>
    </w:p>
    <w:p>
      <w:pPr>
        <w:pStyle w:val="Abstract"/>
        <w:bidi w:val="0"/>
        <w:jc w:val="both"/>
        <w:rPr>
          <w:rFonts w:ascii="Times New Roman" w:hAnsi="Times New Roman"/>
          <w:shd w:fill="auto" w:val="clear"/>
          <w:lang w:val="fr-FR" w:bidi="ar-SA"/>
        </w:rPr>
      </w:pPr>
      <w:r>
        <w:rPr>
          <w:rFonts w:ascii="Times New Roman" w:hAnsi="Times New Roman"/>
          <w:b/>
          <w:shd w:fill="auto" w:val="clear"/>
          <w:lang w:val="fr-FR" w:bidi="ar-SA"/>
        </w:rPr>
        <w:t>Background and Purpose:</w:t>
      </w:r>
      <w:r>
        <w:rPr>
          <w:rFonts w:ascii="Times New Roman" w:hAnsi="Times New Roman"/>
          <w:shd w:fill="auto" w:val="clear"/>
          <w:lang w:val="fr-FR" w:bidi="ar-SA"/>
        </w:rPr>
        <w:t xml:space="preserve"> </w:t>
      </w:r>
      <w:r>
        <w:rPr>
          <w:rFonts w:ascii="Times New Roman" w:hAnsi="Times New Roman"/>
          <w:b w:val="false"/>
          <w:i w:val="false"/>
          <w:color w:val="1B1B1B"/>
          <w:sz w:val="18"/>
          <w:szCs w:val="18"/>
          <w:shd w:fill="auto" w:val="clear"/>
          <w:lang w:val="fr-FR" w:bidi="ar-SA"/>
        </w:rPr>
        <w:t xml:space="preserve">Infectious osteoarticular involvement is somewhat more frequent in HIV-positive patients, due to immune deficiency or immune deficiency, or both.The aim of our study was to compare the clinical, paraclinical and evolutionary aspects of Pott's disease in HIV-positive and HIV-negative patients. </w:t>
      </w:r>
    </w:p>
    <w:p>
      <w:pPr>
        <w:pStyle w:val="Abstract"/>
        <w:bidi w:val="0"/>
        <w:jc w:val="both"/>
        <w:rPr>
          <w:rFonts w:ascii="Times New Roman" w:hAnsi="Times New Roman"/>
          <w:shd w:fill="auto" w:val="clear"/>
          <w:lang w:val="fr-FR" w:bidi="ar-SA"/>
        </w:rPr>
      </w:pPr>
      <w:r>
        <w:rPr>
          <w:rFonts w:ascii="Times New Roman" w:hAnsi="Times New Roman"/>
          <w:b/>
          <w:shd w:fill="auto" w:val="clear"/>
          <w:lang w:val="fr-FR" w:bidi="ar-SA"/>
        </w:rPr>
        <w:t>Methods:</w:t>
      </w:r>
      <w:r>
        <w:rPr>
          <w:rFonts w:ascii="Times New Roman" w:hAnsi="Times New Roman"/>
          <w:shd w:fill="auto" w:val="clear"/>
          <w:lang w:val="fr-FR" w:bidi="ar-SA"/>
        </w:rPr>
        <w:t xml:space="preserve"> </w:t>
      </w:r>
      <w:r>
        <w:rPr>
          <w:rFonts w:ascii="Times New Roman" w:hAnsi="Times New Roman"/>
          <w:b w:val="false"/>
          <w:i w:val="false"/>
          <w:color w:val="1B1B1B"/>
          <w:sz w:val="18"/>
          <w:szCs w:val="18"/>
          <w:shd w:fill="auto" w:val="clear"/>
          <w:lang w:val="fr-FR" w:bidi="ar-SA"/>
        </w:rPr>
        <w:t xml:space="preserve">retrospective study from 01 April 2008 to 30 March 2014 in the rheumatology, neurology and neurosurgery departments of the Universitary Teaching Hospital Yalgado Ouédraogo. Included were those patients diagnosed with Pott's disease. Positive (HIV +) and negative (HIV-) patients for HIV were compared. </w:t>
      </w:r>
      <w:r>
        <w:rPr>
          <w:rFonts w:ascii="Times New Roman" w:hAnsi="Times New Roman"/>
          <w:shd w:fill="auto" w:val="clear"/>
          <w:lang w:val="fr-FR" w:bidi="ar-SA"/>
        </w:rPr>
        <w:t>.</w:t>
      </w:r>
    </w:p>
    <w:p>
      <w:pPr>
        <w:pStyle w:val="Abstract"/>
        <w:bidi w:val="0"/>
        <w:jc w:val="both"/>
        <w:rPr>
          <w:shd w:fill="auto" w:val="clear"/>
          <w:lang w:val="fr-FR" w:bidi="ar-SA"/>
        </w:rPr>
      </w:pPr>
      <w:r>
        <w:rPr>
          <w:rFonts w:ascii="Times New Roman" w:hAnsi="Times New Roman"/>
          <w:b/>
          <w:shd w:fill="auto" w:val="clear"/>
          <w:lang w:val="fr-FR" w:bidi="ar-SA"/>
        </w:rPr>
        <w:t xml:space="preserve">Results: </w:t>
      </w:r>
      <w:r>
        <w:rPr>
          <w:rFonts w:ascii="Times New Roman" w:hAnsi="Times New Roman"/>
          <w:b w:val="false"/>
          <w:i w:val="false"/>
          <w:color w:val="1B1B1B"/>
          <w:sz w:val="18"/>
          <w:szCs w:val="18"/>
          <w:shd w:fill="auto" w:val="clear"/>
          <w:lang w:val="fr-FR" w:bidi="ar-SA"/>
        </w:rPr>
        <w:t>Eighty-four patients had achieved their HIV serology, of which 15 (17.85%) were positive. The mean age was 42.33 years (HIV +) versus 49 years (HIV-) (p = 0.173). The sex ratio was 1.5 in HIV + and 2.2 in HIV - (p = 1). A spinal syndrome was present in 14 HIV + patients (93%) and 60 (86%) patients predominantly in the lumbar region (p = 1). Fourteen (93.3%) HIV + patients had at least one sign of neurological complication compared with 48 (65.5%) HIV-infected patients (p = 0.03). At imaging, 12 HIV + patients (80%) had a multi-stage attack against 19 HIV-positive patients (27.5%) (p = 0.000). Three deaths (13.33%) of HIV + patients were observed against 1.4% HIV- (p = 0.018).</w:t>
      </w:r>
    </w:p>
    <w:p>
      <w:pPr>
        <w:pStyle w:val="Abstract"/>
        <w:bidi w:val="0"/>
        <w:jc w:val="left"/>
        <w:rPr>
          <w:rFonts w:ascii="Times New Roman" w:hAnsi="Times New Roman"/>
          <w:shd w:fill="auto" w:val="clear"/>
          <w:lang w:val="fr-FR" w:bidi="ar-SA"/>
        </w:rPr>
      </w:pPr>
      <w:r>
        <w:rPr>
          <w:rFonts w:ascii="Times New Roman" w:hAnsi="Times New Roman"/>
          <w:b/>
          <w:shd w:fill="auto" w:val="clear"/>
          <w:lang w:val="fr-FR" w:bidi="ar-SA"/>
        </w:rPr>
        <w:t>Conclusions:</w:t>
      </w:r>
      <w:r>
        <w:rPr>
          <w:rFonts w:ascii="Times New Roman" w:hAnsi="Times New Roman"/>
          <w:shd w:fill="auto" w:val="clear"/>
          <w:lang w:val="fr-FR" w:bidi="ar-SA"/>
        </w:rPr>
        <w:t xml:space="preserve"> </w:t>
      </w:r>
      <w:r>
        <w:rPr>
          <w:rFonts w:ascii="Times New Roman" w:hAnsi="Times New Roman"/>
          <w:b w:val="false"/>
          <w:i w:val="false"/>
          <w:color w:val="1B1B1B"/>
          <w:sz w:val="18"/>
          <w:szCs w:val="18"/>
          <w:shd w:fill="auto" w:val="clear"/>
          <w:lang w:val="fr-FR" w:bidi="ar-SA"/>
        </w:rPr>
        <w:t>Age and sex do not appear to be associated with HIV infection during Pott's disease. In contrast, multi-stage disease and higher mortality were observed in HIV + patients.</w:t>
      </w:r>
    </w:p>
    <w:p>
      <w:pPr>
        <w:pStyle w:val="Keywords"/>
        <w:bidi w:val="0"/>
        <w:spacing w:before="0" w:after="0"/>
        <w:jc w:val="left"/>
        <w:rPr>
          <w:rFonts w:ascii="Times New Roman" w:hAnsi="Times New Roman"/>
          <w:shd w:fill="auto" w:val="clear"/>
          <w:lang w:val="fr-FR" w:bidi="ar-SA"/>
        </w:rPr>
      </w:pPr>
      <w:r>
        <w:rPr>
          <w:rFonts w:ascii="Times New Roman" w:hAnsi="Times New Roman"/>
          <w:b/>
          <w:shd w:fill="auto" w:val="clear"/>
          <w:lang w:val="fr-FR" w:bidi="ar-SA"/>
        </w:rPr>
        <w:t>Keywords:</w:t>
      </w:r>
      <w:r>
        <w:rPr>
          <w:rFonts w:ascii="Times New Roman" w:hAnsi="Times New Roman"/>
          <w:i/>
          <w:shd w:fill="auto" w:val="clear"/>
          <w:lang w:val="fr-FR" w:bidi="ar-SA"/>
        </w:rPr>
        <w:t xml:space="preserve">  </w:t>
      </w:r>
      <w:r>
        <w:rPr>
          <w:rFonts w:ascii="Times New Roman" w:hAnsi="Times New Roman"/>
          <w:i/>
          <w:shd w:fill="auto" w:val="clear"/>
          <w:lang w:val="fr-FR" w:bidi="ar-SA"/>
        </w:rPr>
        <w:t>S</w:t>
      </w:r>
      <w:r>
        <w:rPr>
          <w:rFonts w:ascii="Times New Roman" w:hAnsi="Times New Roman"/>
          <w:b w:val="false"/>
          <w:i w:val="false"/>
          <w:color w:val="1B1B1B"/>
          <w:sz w:val="18"/>
          <w:szCs w:val="18"/>
          <w:shd w:fill="auto" w:val="clear"/>
          <w:lang w:val="fr-FR" w:bidi="ar-SA"/>
        </w:rPr>
        <w:t>pondylitis, Pott, HIV, Burkina Faso</w:t>
      </w:r>
    </w:p>
    <w:p>
      <w:pPr>
        <w:pStyle w:val="Heading1"/>
        <w:numPr>
          <w:ilvl w:val="0"/>
          <w:numId w:val="3"/>
        </w:numPr>
        <w:bidi w:val="0"/>
        <w:jc w:val="left"/>
        <w:rPr>
          <w:shd w:fill="auto" w:val="clear"/>
        </w:rPr>
      </w:pPr>
      <w:r>
        <w:rPr>
          <w:shd w:fill="auto" w:val="clear"/>
        </w:rPr>
        <w:t xml:space="preserve">Introduction </w:t>
      </w:r>
    </w:p>
    <w:p>
      <w:pPr>
        <w:pStyle w:val="Normal"/>
        <w:bidi w:val="0"/>
        <w:jc w:val="left"/>
        <w:rPr>
          <w:shd w:fill="auto" w:val="clear"/>
        </w:rPr>
      </w:pPr>
      <w:r>
        <w:rPr>
          <w:rFonts w:ascii="Times New Roman" w:hAnsi="Times New Roman"/>
          <w:b w:val="false"/>
          <w:i w:val="false"/>
          <w:color w:val="000000"/>
          <w:sz w:val="20"/>
          <w:szCs w:val="20"/>
          <w:shd w:fill="auto" w:val="clear"/>
        </w:rPr>
        <w:t xml:space="preserve">La tuberculose tue 2 millions de personnes chaque année dans le monde et demeure un problème de santé publique en Afrique Subsaharienne </w:t>
      </w:r>
      <w:r>
        <w:rPr>
          <w:rFonts w:ascii="Times New Roman" w:hAnsi="Times New Roman"/>
          <w:b w:val="false"/>
          <w:i w:val="false"/>
          <w:color w:val="000000"/>
          <w:sz w:val="20"/>
          <w:szCs w:val="20"/>
          <w:shd w:fill="auto" w:val="clear"/>
        </w:rPr>
        <w:t>[1,2]</w:t>
      </w:r>
      <w:r>
        <w:rPr>
          <w:rFonts w:ascii="Times New Roman" w:hAnsi="Times New Roman"/>
          <w:b w:val="false"/>
          <w:i w:val="false"/>
          <w:color w:val="000000"/>
          <w:sz w:val="20"/>
          <w:szCs w:val="20"/>
          <w:shd w:fill="auto" w:val="clear"/>
        </w:rPr>
        <w:t xml:space="preserve">. Elle est souvent la première manifestation de l’infection au Virus de l’immunodéficience Humaine (VIH) et la principale cause de décès des patients infectés par le VIH </w:t>
      </w:r>
      <w:r>
        <w:rPr>
          <w:rFonts w:ascii="Times New Roman" w:hAnsi="Times New Roman"/>
          <w:b w:val="false"/>
          <w:i w:val="false"/>
          <w:color w:val="000000"/>
          <w:sz w:val="20"/>
          <w:szCs w:val="20"/>
          <w:shd w:fill="auto" w:val="clear"/>
        </w:rPr>
        <w:t>[3]</w:t>
      </w:r>
      <w:r>
        <w:rPr>
          <w:rFonts w:ascii="Times New Roman" w:hAnsi="Times New Roman"/>
          <w:b w:val="false"/>
          <w:i w:val="false"/>
          <w:color w:val="000000"/>
          <w:sz w:val="20"/>
          <w:szCs w:val="20"/>
          <w:shd w:fill="auto" w:val="clear"/>
        </w:rPr>
        <w:t xml:space="preserve">. En Afrique sub-saharienne, plus de 50 % des cas de tuberculose peuvent être attribués à une co-infection VIH </w:t>
      </w:r>
      <w:r>
        <w:rPr>
          <w:rFonts w:ascii="Times New Roman" w:hAnsi="Times New Roman"/>
          <w:b w:val="false"/>
          <w:i w:val="false"/>
          <w:color w:val="000000"/>
          <w:sz w:val="20"/>
          <w:szCs w:val="20"/>
          <w:shd w:fill="auto" w:val="clear"/>
        </w:rPr>
        <w:t>[2]</w:t>
      </w:r>
      <w:r>
        <w:rPr>
          <w:rFonts w:ascii="Times New Roman" w:hAnsi="Times New Roman"/>
          <w:b w:val="false"/>
          <w:i w:val="false"/>
          <w:color w:val="000000"/>
          <w:sz w:val="20"/>
          <w:szCs w:val="20"/>
          <w:shd w:fill="auto" w:val="clear"/>
        </w:rPr>
        <w:t xml:space="preserve">. L'Organisation Mondiale de la Santé (OMS) estime qu'entre 2000 et 2020, près d'un milliard de personnes seront nouvellement infectées et que 200 millions d'entre elles développeront la maladie, dont 35 millions mourront de tuberculose si aucune amélioration n'est apportée dans le contrôle de cette infection </w:t>
      </w:r>
      <w:r>
        <w:rPr>
          <w:rFonts w:ascii="Times New Roman" w:hAnsi="Times New Roman"/>
          <w:b w:val="false"/>
          <w:i w:val="false"/>
          <w:color w:val="000000"/>
          <w:sz w:val="20"/>
          <w:szCs w:val="20"/>
          <w:shd w:fill="auto" w:val="clear"/>
        </w:rPr>
        <w:t>[4]</w:t>
      </w:r>
      <w:r>
        <w:rPr>
          <w:rFonts w:ascii="Times New Roman" w:hAnsi="Times New Roman"/>
          <w:b w:val="false"/>
          <w:i w:val="false"/>
          <w:color w:val="000000"/>
          <w:sz w:val="20"/>
          <w:szCs w:val="20"/>
          <w:shd w:fill="auto" w:val="clear"/>
        </w:rPr>
        <w:t>. Les atteintes ostéoarticulaires infectieuses en particulier tuberculeuses sont plus fréquentes chez les patients séropositifs au VIH, du fait du terrain ou du déficit immunitaire, voire des deux. Le but de notre étude était de comparer les aspects cliniques, paracliniques et évolutifs du mal de Pott chez les patients séropositifs et séronégatifs pour le VIH.</w:t>
      </w:r>
    </w:p>
    <w:p>
      <w:pPr>
        <w:pStyle w:val="Heading1"/>
        <w:numPr>
          <w:ilvl w:val="0"/>
          <w:numId w:val="3"/>
        </w:numPr>
        <w:bidi w:val="0"/>
        <w:jc w:val="left"/>
        <w:rPr>
          <w:rFonts w:ascii="Times New Roman" w:hAnsi="Times New Roman"/>
          <w:shd w:fill="auto" w:val="clear"/>
        </w:rPr>
      </w:pPr>
      <w:r>
        <w:rPr>
          <w:rFonts w:ascii="Times New Roman" w:hAnsi="Times New Roman"/>
          <w:shd w:fill="auto" w:val="clear"/>
        </w:rPr>
        <w:t>Patients et méthodes</w:t>
      </w:r>
    </w:p>
    <w:p>
      <w:pPr>
        <w:pStyle w:val="Normal"/>
        <w:bidi w:val="0"/>
        <w:spacing w:lineRule="auto" w:line="240" w:before="0" w:after="26"/>
        <w:jc w:val="both"/>
        <w:rPr>
          <w:rFonts w:ascii="Times New Roman" w:hAnsi="Times New Roman"/>
          <w:sz w:val="20"/>
          <w:szCs w:val="20"/>
          <w:shd w:fill="auto" w:val="clear"/>
        </w:rPr>
      </w:pPr>
      <w:r>
        <w:rPr>
          <w:rFonts w:ascii="Times New Roman" w:hAnsi="Times New Roman"/>
          <w:b w:val="false"/>
          <w:i w:val="false"/>
          <w:color w:val="000000"/>
          <w:sz w:val="20"/>
          <w:szCs w:val="20"/>
          <w:shd w:fill="auto" w:val="clear"/>
        </w:rPr>
        <w:t>Il s’est agi d’une étude rétrospective sur dossier menée de 01 avril 2008 au 30 mars 2014 dans les services de rhumatologie, neurologie et neurochirurgie du CHU Yalgado Ouédraogo. Étaient inclus les patients chez qui le diagnostic de mal de Pott était retenu sur la base des arguments clinico-biologiques, radiologiques et évolutifs sous traitement et ayant réalisé une sérologie VIH. Les patients positifs (VIH+) et négatifs (VIH-) pour le VIH ont été comparés. Un taux de significativité p=0,05 a été retenu.</w:t>
      </w:r>
    </w:p>
    <w:p>
      <w:pPr>
        <w:pStyle w:val="Heading1"/>
        <w:numPr>
          <w:ilvl w:val="0"/>
          <w:numId w:val="3"/>
        </w:numPr>
        <w:bidi w:val="0"/>
        <w:jc w:val="left"/>
        <w:rPr>
          <w:shd w:fill="auto" w:val="clear"/>
        </w:rPr>
      </w:pPr>
      <w:r>
        <w:rPr>
          <w:shd w:fill="auto" w:val="clear"/>
        </w:rPr>
        <w:t>Résultats</w:t>
      </w:r>
    </w:p>
    <w:p>
      <w:pPr>
        <w:pStyle w:val="Corpsdetexte"/>
        <w:bidi w:val="0"/>
        <w:jc w:val="both"/>
        <w:rPr>
          <w:shd w:fill="auto" w:val="clear"/>
        </w:rPr>
      </w:pPr>
      <w:r>
        <w:rPr>
          <w:shd w:fill="auto" w:val="clear"/>
        </w:rPr>
        <w:t>Durant la période d’étude, 84 patients avaient réalisés une sérologie VIH dont 15 positives (17,85%). Parmi les 15 patients, 10 (66,7%) étaient positifs au VIH de type 1 et 5(33,3%) au type 2. L’âge moyen des patients VIH + était de 42,4 ans et 49 ans chez les patients ayant une sérologie négative (p=0,173). Quatorze patients séropositifs au VIH (93,3%) contre 48 (65,5%) chez les patients ayant une sérologie négative (p=0,000). La comparaison des paramètres épidémiologiques, cliniques, radiologiques et évolutifs est représentée par le tableau 1.</w:t>
      </w:r>
    </w:p>
    <w:p>
      <w:pPr>
        <w:pStyle w:val="Tableau"/>
        <w:keepNext w:val="true"/>
        <w:bidi w:val="0"/>
        <w:jc w:val="left"/>
        <w:rPr>
          <w:sz w:val="20"/>
          <w:szCs w:val="20"/>
          <w:shd w:fill="auto" w:val="clear"/>
        </w:rPr>
      </w:pPr>
      <w:r>
        <w:rPr>
          <w:sz w:val="20"/>
          <w:szCs w:val="20"/>
          <w:shd w:fill="auto" w:val="clear"/>
        </w:rPr>
        <w:t xml:space="preserve">Tableau </w:t>
      </w:r>
      <w:r>
        <w:rPr>
          <w:sz w:val="20"/>
          <w:szCs w:val="20"/>
          <w:shd w:fill="auto" w:val="clear"/>
        </w:rPr>
        <w:fldChar w:fldCharType="begin"/>
      </w:r>
      <w:r>
        <w:rPr>
          <w:sz w:val="20"/>
          <w:shd w:fill="auto" w:val="clear"/>
          <w:szCs w:val="20"/>
        </w:rPr>
        <w:instrText> SEQ Tableau \* ARABIC </w:instrText>
      </w:r>
      <w:r>
        <w:rPr>
          <w:sz w:val="20"/>
          <w:shd w:fill="auto" w:val="clear"/>
          <w:szCs w:val="20"/>
        </w:rPr>
        <w:fldChar w:fldCharType="separate"/>
      </w:r>
      <w:r>
        <w:rPr>
          <w:sz w:val="20"/>
          <w:shd w:fill="auto" w:val="clear"/>
          <w:szCs w:val="20"/>
        </w:rPr>
        <w:t>1</w:t>
      </w:r>
      <w:r>
        <w:rPr>
          <w:sz w:val="20"/>
          <w:shd w:fill="auto" w:val="clear"/>
          <w:szCs w:val="20"/>
        </w:rPr>
        <w:fldChar w:fldCharType="end"/>
      </w:r>
      <w:r>
        <w:rPr>
          <w:sz w:val="20"/>
          <w:szCs w:val="20"/>
          <w:shd w:fill="auto" w:val="clear"/>
        </w:rPr>
        <w:t>: Répartition des patients selon les paramètres étudiés</w:t>
      </w:r>
    </w:p>
    <w:tbl>
      <w:tblPr>
        <w:tblW w:w="8328" w:type="dxa"/>
        <w:jc w:val="center"/>
        <w:tblInd w:w="0" w:type="dxa"/>
        <w:tblLayout w:type="fixed"/>
        <w:tblCellMar>
          <w:top w:w="0" w:type="dxa"/>
          <w:left w:w="0" w:type="dxa"/>
          <w:bottom w:w="0" w:type="dxa"/>
          <w:right w:w="0" w:type="dxa"/>
        </w:tblCellMar>
      </w:tblPr>
      <w:tblGrid>
        <w:gridCol w:w="3348"/>
        <w:gridCol w:w="900"/>
        <w:gridCol w:w="1140"/>
        <w:gridCol w:w="900"/>
        <w:gridCol w:w="1080"/>
        <w:gridCol w:w="960"/>
      </w:tblGrid>
      <w:tr>
        <w:trPr/>
        <w:tc>
          <w:tcPr>
            <w:tcW w:w="3348" w:type="dxa"/>
            <w:tcBorders>
              <w:top w:val="single" w:sz="6" w:space="0" w:color="000000"/>
              <w:bottom w:val="single" w:sz="6" w:space="0" w:color="000000"/>
            </w:tcBorders>
          </w:tcPr>
          <w:p>
            <w:pPr>
              <w:pStyle w:val="Contenudetableau"/>
              <w:bidi w:val="0"/>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shd w:fill="auto" w:val="clear"/>
              </w:rPr>
            </w:pPr>
            <w:r>
              <w:rPr>
                <w:rFonts w:ascii="Times New Roman" w:hAnsi="Times New Roman"/>
                <w:b w:val="false"/>
                <w:bCs w:val="false"/>
                <w:i w:val="false"/>
                <w:iCs w:val="false"/>
                <w:strike w:val="false"/>
                <w:dstrike w:val="false"/>
                <w:outline w:val="false"/>
                <w:shadow w:val="false"/>
                <w:color w:val="000000"/>
                <w:sz w:val="20"/>
                <w:szCs w:val="20"/>
                <w:u w:val="none"/>
                <w:shd w:fill="auto" w:val="clear"/>
              </w:rPr>
              <w:t xml:space="preserve">        </w:t>
            </w:r>
          </w:p>
        </w:tc>
        <w:tc>
          <w:tcPr>
            <w:tcW w:w="2040" w:type="dxa"/>
            <w:gridSpan w:val="2"/>
            <w:tcBorders>
              <w:top w:val="single" w:sz="6" w:space="0" w:color="000000"/>
              <w:bottom w:val="single" w:sz="6" w:space="0" w:color="000000"/>
            </w:tcBorders>
          </w:tcPr>
          <w:p>
            <w:pPr>
              <w:pStyle w:val="Contenudetableau"/>
              <w:bidi w:val="0"/>
              <w:jc w:val="center"/>
              <w:rPr>
                <w:rFonts w:ascii="Times New Roman" w:hAnsi="Times New Roman"/>
                <w:b/>
                <w:b/>
                <w:bCs/>
                <w:i w:val="false"/>
                <w:i w:val="false"/>
                <w:iCs w:val="false"/>
                <w:strike w:val="false"/>
                <w:dstrike w:val="false"/>
                <w:outline w:val="false"/>
                <w:shadow w:val="false"/>
                <w:color w:val="000000"/>
                <w:sz w:val="20"/>
                <w:szCs w:val="20"/>
                <w:u w:val="none"/>
                <w:shd w:fill="auto" w:val="clear"/>
              </w:rPr>
            </w:pPr>
            <w:r>
              <w:rPr>
                <w:rFonts w:ascii="Times New Roman" w:hAnsi="Times New Roman"/>
                <w:b/>
                <w:bCs/>
                <w:i w:val="false"/>
                <w:iCs w:val="false"/>
                <w:strike w:val="false"/>
                <w:dstrike w:val="false"/>
                <w:outline w:val="false"/>
                <w:shadow w:val="false"/>
                <w:color w:val="000000"/>
                <w:sz w:val="20"/>
                <w:szCs w:val="20"/>
                <w:u w:val="none"/>
                <w:shd w:fill="auto" w:val="clear"/>
              </w:rPr>
              <w:t>VIH +</w:t>
            </w:r>
          </w:p>
        </w:tc>
        <w:tc>
          <w:tcPr>
            <w:tcW w:w="1980" w:type="dxa"/>
            <w:gridSpan w:val="2"/>
            <w:tcBorders>
              <w:top w:val="single" w:sz="6" w:space="0" w:color="000000"/>
              <w:bottom w:val="single" w:sz="6" w:space="0" w:color="000000"/>
            </w:tcBorders>
          </w:tcPr>
          <w:p>
            <w:pPr>
              <w:pStyle w:val="Contenudetableau"/>
              <w:bidi w:val="0"/>
              <w:jc w:val="center"/>
              <w:rPr>
                <w:rFonts w:ascii="Times New Roman" w:hAnsi="Times New Roman"/>
                <w:b/>
                <w:b/>
                <w:bCs/>
                <w:i w:val="false"/>
                <w:i w:val="false"/>
                <w:iCs w:val="false"/>
                <w:strike w:val="false"/>
                <w:dstrike w:val="false"/>
                <w:outline w:val="false"/>
                <w:shadow w:val="false"/>
                <w:color w:val="000000"/>
                <w:sz w:val="20"/>
                <w:szCs w:val="20"/>
                <w:u w:val="none"/>
                <w:shd w:fill="auto" w:val="clear"/>
              </w:rPr>
            </w:pPr>
            <w:r>
              <w:rPr>
                <w:rFonts w:ascii="Times New Roman" w:hAnsi="Times New Roman"/>
                <w:b/>
                <w:bCs/>
                <w:i w:val="false"/>
                <w:iCs w:val="false"/>
                <w:strike w:val="false"/>
                <w:dstrike w:val="false"/>
                <w:outline w:val="false"/>
                <w:shadow w:val="false"/>
                <w:color w:val="000000"/>
                <w:sz w:val="20"/>
                <w:szCs w:val="20"/>
                <w:u w:val="none"/>
                <w:shd w:fill="auto" w:val="clear"/>
              </w:rPr>
              <w:t>VIH-</w:t>
            </w:r>
          </w:p>
        </w:tc>
        <w:tc>
          <w:tcPr>
            <w:tcW w:w="960" w:type="dxa"/>
            <w:tcBorders>
              <w:top w:val="single" w:sz="6" w:space="0" w:color="000000"/>
              <w:bottom w:val="single" w:sz="6" w:space="0" w:color="000000"/>
            </w:tcBorders>
          </w:tcPr>
          <w:p>
            <w:pPr>
              <w:pStyle w:val="Contenudetableau"/>
              <w:bidi w:val="0"/>
              <w:jc w:val="center"/>
              <w:rPr>
                <w:rFonts w:ascii="Times New Roman" w:hAnsi="Times New Roman"/>
                <w:b/>
                <w:b/>
                <w:bCs/>
                <w:i w:val="false"/>
                <w:i w:val="false"/>
                <w:iCs w:val="false"/>
                <w:strike w:val="false"/>
                <w:dstrike w:val="false"/>
                <w:outline w:val="false"/>
                <w:shadow w:val="false"/>
                <w:color w:val="000000"/>
                <w:sz w:val="20"/>
                <w:szCs w:val="20"/>
                <w:u w:val="none"/>
                <w:shd w:fill="auto" w:val="clear"/>
              </w:rPr>
            </w:pPr>
            <w:r>
              <w:rPr>
                <w:rFonts w:ascii="Times New Roman" w:hAnsi="Times New Roman"/>
                <w:b/>
                <w:bCs/>
                <w:i w:val="false"/>
                <w:iCs w:val="false"/>
                <w:strike w:val="false"/>
                <w:dstrike w:val="false"/>
                <w:outline w:val="false"/>
                <w:shadow w:val="false"/>
                <w:color w:val="000000"/>
                <w:sz w:val="20"/>
                <w:szCs w:val="20"/>
                <w:u w:val="none"/>
                <w:shd w:fill="auto" w:val="clear"/>
              </w:rPr>
              <w:t>p</w:t>
            </w:r>
          </w:p>
        </w:tc>
      </w:tr>
      <w:tr>
        <w:trPr/>
        <w:tc>
          <w:tcPr>
            <w:tcW w:w="3348" w:type="dxa"/>
            <w:tcBorders/>
          </w:tcPr>
          <w:p>
            <w:pPr>
              <w:pStyle w:val="Contenudetableau"/>
              <w:bidi w:val="0"/>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shd w:fill="auto" w:val="clear"/>
              </w:rPr>
            </w:pPr>
            <w:r>
              <w:rPr>
                <w:rFonts w:ascii="Times New Roman" w:hAnsi="Times New Roman"/>
                <w:b w:val="false"/>
                <w:bCs w:val="false"/>
                <w:i w:val="false"/>
                <w:iCs w:val="false"/>
                <w:strike w:val="false"/>
                <w:dstrike w:val="false"/>
                <w:outline w:val="false"/>
                <w:shadow w:val="false"/>
                <w:color w:val="000000"/>
                <w:sz w:val="20"/>
                <w:szCs w:val="20"/>
                <w:u w:val="none"/>
                <w:shd w:fill="auto" w:val="clear"/>
              </w:rPr>
            </w:r>
          </w:p>
        </w:tc>
        <w:tc>
          <w:tcPr>
            <w:tcW w:w="900" w:type="dxa"/>
            <w:tcBorders/>
          </w:tcPr>
          <w:p>
            <w:pPr>
              <w:pStyle w:val="Contenudetableau"/>
              <w:bidi w:val="0"/>
              <w:jc w:val="center"/>
              <w:rPr>
                <w:rFonts w:ascii="Times New Roman" w:hAnsi="Times New Roman"/>
                <w:b w:val="false"/>
                <w:b w:val="false"/>
                <w:bCs w:val="false"/>
                <w:i w:val="false"/>
                <w:i w:val="false"/>
                <w:iCs w:val="false"/>
                <w:strike w:val="false"/>
                <w:dstrike w:val="false"/>
                <w:outline w:val="false"/>
                <w:shadow w:val="false"/>
                <w:color w:val="000000"/>
                <w:sz w:val="20"/>
                <w:szCs w:val="20"/>
                <w:u w:val="none"/>
                <w:shd w:fill="auto" w:val="clear"/>
              </w:rPr>
            </w:pPr>
            <w:r>
              <w:rPr>
                <w:rFonts w:ascii="Times New Roman" w:hAnsi="Times New Roman"/>
                <w:b w:val="false"/>
                <w:bCs w:val="false"/>
                <w:i w:val="false"/>
                <w:iCs w:val="false"/>
                <w:strike w:val="false"/>
                <w:dstrike w:val="false"/>
                <w:outline w:val="false"/>
                <w:shadow w:val="false"/>
                <w:color w:val="000000"/>
                <w:sz w:val="20"/>
                <w:szCs w:val="20"/>
                <w:u w:val="none"/>
                <w:shd w:fill="auto" w:val="clear"/>
              </w:rPr>
              <w:t>Effectif</w:t>
            </w:r>
          </w:p>
        </w:tc>
        <w:tc>
          <w:tcPr>
            <w:tcW w:w="1140" w:type="dxa"/>
            <w:tcBorders/>
          </w:tcPr>
          <w:p>
            <w:pPr>
              <w:pStyle w:val="Contenudetableau"/>
              <w:bidi w:val="0"/>
              <w:jc w:val="center"/>
              <w:rPr>
                <w:rFonts w:ascii="Times New Roman" w:hAnsi="Times New Roman"/>
                <w:b w:val="false"/>
                <w:b w:val="false"/>
                <w:bCs w:val="false"/>
                <w:i w:val="false"/>
                <w:i w:val="false"/>
                <w:iCs w:val="false"/>
                <w:strike w:val="false"/>
                <w:dstrike w:val="false"/>
                <w:outline w:val="false"/>
                <w:shadow w:val="false"/>
                <w:color w:val="000000"/>
                <w:sz w:val="20"/>
                <w:szCs w:val="20"/>
                <w:u w:val="none"/>
                <w:shd w:fill="auto" w:val="clear"/>
              </w:rPr>
            </w:pPr>
            <w:r>
              <w:rPr>
                <w:rFonts w:ascii="Times New Roman" w:hAnsi="Times New Roman"/>
                <w:b w:val="false"/>
                <w:bCs w:val="false"/>
                <w:i w:val="false"/>
                <w:iCs w:val="false"/>
                <w:strike w:val="false"/>
                <w:dstrike w:val="false"/>
                <w:outline w:val="false"/>
                <w:shadow w:val="false"/>
                <w:color w:val="000000"/>
                <w:sz w:val="20"/>
                <w:szCs w:val="20"/>
                <w:u w:val="none"/>
                <w:shd w:fill="auto" w:val="clear"/>
              </w:rPr>
              <w:t>Pourcentage</w:t>
            </w:r>
          </w:p>
        </w:tc>
        <w:tc>
          <w:tcPr>
            <w:tcW w:w="900" w:type="dxa"/>
            <w:tcBorders/>
          </w:tcPr>
          <w:p>
            <w:pPr>
              <w:pStyle w:val="Contenudetableau"/>
              <w:bidi w:val="0"/>
              <w:jc w:val="center"/>
              <w:rPr>
                <w:rFonts w:ascii="Times New Roman" w:hAnsi="Times New Roman"/>
                <w:b w:val="false"/>
                <w:b w:val="false"/>
                <w:bCs w:val="false"/>
                <w:i w:val="false"/>
                <w:i w:val="false"/>
                <w:iCs w:val="false"/>
                <w:strike w:val="false"/>
                <w:dstrike w:val="false"/>
                <w:outline w:val="false"/>
                <w:shadow w:val="false"/>
                <w:color w:val="000000"/>
                <w:sz w:val="20"/>
                <w:szCs w:val="20"/>
                <w:u w:val="none"/>
                <w:shd w:fill="auto" w:val="clear"/>
              </w:rPr>
            </w:pPr>
            <w:r>
              <w:rPr>
                <w:rFonts w:ascii="Times New Roman" w:hAnsi="Times New Roman"/>
                <w:b w:val="false"/>
                <w:bCs w:val="false"/>
                <w:i w:val="false"/>
                <w:iCs w:val="false"/>
                <w:strike w:val="false"/>
                <w:dstrike w:val="false"/>
                <w:outline w:val="false"/>
                <w:shadow w:val="false"/>
                <w:color w:val="000000"/>
                <w:sz w:val="20"/>
                <w:szCs w:val="20"/>
                <w:u w:val="none"/>
                <w:shd w:fill="auto" w:val="clear"/>
              </w:rPr>
              <w:t>Effectif</w:t>
            </w:r>
          </w:p>
        </w:tc>
        <w:tc>
          <w:tcPr>
            <w:tcW w:w="1080" w:type="dxa"/>
            <w:tcBorders/>
          </w:tcPr>
          <w:p>
            <w:pPr>
              <w:pStyle w:val="Contenudetableau"/>
              <w:bidi w:val="0"/>
              <w:jc w:val="center"/>
              <w:rPr>
                <w:rFonts w:ascii="Times New Roman" w:hAnsi="Times New Roman"/>
                <w:b w:val="false"/>
                <w:b w:val="false"/>
                <w:bCs w:val="false"/>
                <w:i w:val="false"/>
                <w:i w:val="false"/>
                <w:iCs w:val="false"/>
                <w:strike w:val="false"/>
                <w:dstrike w:val="false"/>
                <w:outline w:val="false"/>
                <w:shadow w:val="false"/>
                <w:color w:val="000000"/>
                <w:sz w:val="20"/>
                <w:szCs w:val="20"/>
                <w:u w:val="none"/>
                <w:shd w:fill="auto" w:val="clear"/>
              </w:rPr>
            </w:pPr>
            <w:r>
              <w:rPr>
                <w:rFonts w:ascii="Times New Roman" w:hAnsi="Times New Roman"/>
                <w:b w:val="false"/>
                <w:bCs w:val="false"/>
                <w:i w:val="false"/>
                <w:iCs w:val="false"/>
                <w:strike w:val="false"/>
                <w:dstrike w:val="false"/>
                <w:outline w:val="false"/>
                <w:shadow w:val="false"/>
                <w:color w:val="000000"/>
                <w:sz w:val="20"/>
                <w:szCs w:val="20"/>
                <w:u w:val="none"/>
                <w:shd w:fill="auto" w:val="clear"/>
              </w:rPr>
              <w:t>Pourcentage</w:t>
            </w:r>
          </w:p>
        </w:tc>
        <w:tc>
          <w:tcPr>
            <w:tcW w:w="960" w:type="dxa"/>
            <w:tcBorders/>
          </w:tcPr>
          <w:p>
            <w:pPr>
              <w:pStyle w:val="Contenudetableau"/>
              <w:bidi w:val="0"/>
              <w:jc w:val="center"/>
              <w:rPr>
                <w:rFonts w:ascii="Times New Roman" w:hAnsi="Times New Roman"/>
                <w:b w:val="false"/>
                <w:b w:val="false"/>
                <w:bCs w:val="false"/>
                <w:i w:val="false"/>
                <w:i w:val="false"/>
                <w:iCs w:val="false"/>
                <w:strike w:val="false"/>
                <w:dstrike w:val="false"/>
                <w:outline w:val="false"/>
                <w:shadow w:val="false"/>
                <w:color w:val="000000"/>
                <w:sz w:val="20"/>
                <w:szCs w:val="20"/>
                <w:u w:val="none"/>
                <w:shd w:fill="auto" w:val="clear"/>
              </w:rPr>
            </w:pPr>
            <w:r>
              <w:rPr>
                <w:rFonts w:ascii="Times New Roman" w:hAnsi="Times New Roman"/>
                <w:b w:val="false"/>
                <w:bCs w:val="false"/>
                <w:i w:val="false"/>
                <w:iCs w:val="false"/>
                <w:strike w:val="false"/>
                <w:dstrike w:val="false"/>
                <w:outline w:val="false"/>
                <w:shadow w:val="false"/>
                <w:color w:val="000000"/>
                <w:sz w:val="20"/>
                <w:szCs w:val="20"/>
                <w:u w:val="none"/>
                <w:shd w:fill="auto" w:val="clear"/>
              </w:rPr>
            </w:r>
          </w:p>
        </w:tc>
      </w:tr>
      <w:tr>
        <w:trPr/>
        <w:tc>
          <w:tcPr>
            <w:tcW w:w="3348" w:type="dxa"/>
            <w:tcBorders/>
          </w:tcPr>
          <w:p>
            <w:pPr>
              <w:pStyle w:val="Contenudetableau"/>
              <w:bidi w:val="0"/>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shd w:fill="auto" w:val="clear"/>
              </w:rPr>
            </w:pPr>
            <w:r>
              <w:rPr>
                <w:rFonts w:ascii="Times New Roman" w:hAnsi="Times New Roman"/>
                <w:b w:val="false"/>
                <w:bCs w:val="false"/>
                <w:i w:val="false"/>
                <w:iCs w:val="false"/>
                <w:strike w:val="false"/>
                <w:dstrike w:val="false"/>
                <w:outline w:val="false"/>
                <w:shadow w:val="false"/>
                <w:color w:val="000000"/>
                <w:sz w:val="20"/>
                <w:szCs w:val="20"/>
                <w:u w:val="none"/>
                <w:shd w:fill="auto" w:val="clear"/>
              </w:rPr>
              <w:t>Age moyen (ans)</w:t>
            </w:r>
          </w:p>
        </w:tc>
        <w:tc>
          <w:tcPr>
            <w:tcW w:w="900" w:type="dxa"/>
            <w:tcBorders/>
          </w:tcPr>
          <w:p>
            <w:pPr>
              <w:pStyle w:val="Contenudetableau"/>
              <w:bidi w:val="0"/>
              <w:jc w:val="center"/>
              <w:rPr>
                <w:rFonts w:ascii="Times New Roman" w:hAnsi="Times New Roman"/>
                <w:b w:val="false"/>
                <w:b w:val="false"/>
                <w:bCs w:val="false"/>
                <w:i w:val="false"/>
                <w:i w:val="false"/>
                <w:iCs w:val="false"/>
                <w:strike w:val="false"/>
                <w:dstrike w:val="false"/>
                <w:outline w:val="false"/>
                <w:shadow w:val="false"/>
                <w:color w:val="000000"/>
                <w:sz w:val="20"/>
                <w:szCs w:val="20"/>
                <w:u w:val="none"/>
                <w:shd w:fill="auto" w:val="clear"/>
              </w:rPr>
            </w:pPr>
            <w:r>
              <w:rPr>
                <w:rFonts w:ascii="Times New Roman" w:hAnsi="Times New Roman"/>
                <w:b w:val="false"/>
                <w:bCs w:val="false"/>
                <w:i w:val="false"/>
                <w:iCs w:val="false"/>
                <w:strike w:val="false"/>
                <w:dstrike w:val="false"/>
                <w:outline w:val="false"/>
                <w:shadow w:val="false"/>
                <w:color w:val="000000"/>
                <w:sz w:val="20"/>
                <w:szCs w:val="20"/>
                <w:u w:val="none"/>
                <w:shd w:fill="auto" w:val="clear"/>
              </w:rPr>
              <w:t>42, 3</w:t>
            </w:r>
          </w:p>
        </w:tc>
        <w:tc>
          <w:tcPr>
            <w:tcW w:w="1140" w:type="dxa"/>
            <w:tcBorders/>
          </w:tcPr>
          <w:p>
            <w:pPr>
              <w:pStyle w:val="Contenudetableau"/>
              <w:bidi w:val="0"/>
              <w:jc w:val="center"/>
              <w:rPr>
                <w:rFonts w:ascii="Times New Roman" w:hAnsi="Times New Roman"/>
                <w:b w:val="false"/>
                <w:b w:val="false"/>
                <w:bCs w:val="false"/>
                <w:i w:val="false"/>
                <w:i w:val="false"/>
                <w:iCs w:val="false"/>
                <w:strike w:val="false"/>
                <w:dstrike w:val="false"/>
                <w:outline w:val="false"/>
                <w:shadow w:val="false"/>
                <w:color w:val="000000"/>
                <w:sz w:val="20"/>
                <w:szCs w:val="20"/>
                <w:u w:val="none"/>
                <w:shd w:fill="auto" w:val="clear"/>
              </w:rPr>
            </w:pPr>
            <w:r>
              <w:rPr>
                <w:rFonts w:ascii="Times New Roman" w:hAnsi="Times New Roman"/>
                <w:b w:val="false"/>
                <w:bCs w:val="false"/>
                <w:i w:val="false"/>
                <w:iCs w:val="false"/>
                <w:strike w:val="false"/>
                <w:dstrike w:val="false"/>
                <w:outline w:val="false"/>
                <w:shadow w:val="false"/>
                <w:color w:val="000000"/>
                <w:sz w:val="20"/>
                <w:szCs w:val="20"/>
                <w:u w:val="none"/>
                <w:shd w:fill="auto" w:val="clear"/>
              </w:rPr>
            </w:r>
          </w:p>
        </w:tc>
        <w:tc>
          <w:tcPr>
            <w:tcW w:w="900" w:type="dxa"/>
            <w:tcBorders/>
          </w:tcPr>
          <w:p>
            <w:pPr>
              <w:pStyle w:val="Contenudetableau"/>
              <w:bidi w:val="0"/>
              <w:jc w:val="center"/>
              <w:rPr>
                <w:rFonts w:ascii="Times New Roman" w:hAnsi="Times New Roman"/>
                <w:b w:val="false"/>
                <w:b w:val="false"/>
                <w:bCs w:val="false"/>
                <w:i w:val="false"/>
                <w:i w:val="false"/>
                <w:iCs w:val="false"/>
                <w:strike w:val="false"/>
                <w:dstrike w:val="false"/>
                <w:outline w:val="false"/>
                <w:shadow w:val="false"/>
                <w:color w:val="000000"/>
                <w:sz w:val="20"/>
                <w:szCs w:val="20"/>
                <w:u w:val="none"/>
                <w:shd w:fill="auto" w:val="clear"/>
              </w:rPr>
            </w:pPr>
            <w:r>
              <w:rPr>
                <w:rFonts w:ascii="Times New Roman" w:hAnsi="Times New Roman"/>
                <w:b w:val="false"/>
                <w:bCs w:val="false"/>
                <w:i w:val="false"/>
                <w:iCs w:val="false"/>
                <w:strike w:val="false"/>
                <w:dstrike w:val="false"/>
                <w:outline w:val="false"/>
                <w:shadow w:val="false"/>
                <w:color w:val="000000"/>
                <w:sz w:val="20"/>
                <w:szCs w:val="20"/>
                <w:u w:val="none"/>
                <w:shd w:fill="auto" w:val="clear"/>
              </w:rPr>
              <w:t>49</w:t>
            </w:r>
          </w:p>
        </w:tc>
        <w:tc>
          <w:tcPr>
            <w:tcW w:w="1080" w:type="dxa"/>
            <w:tcBorders/>
          </w:tcPr>
          <w:p>
            <w:pPr>
              <w:pStyle w:val="Contenudetableau"/>
              <w:bidi w:val="0"/>
              <w:jc w:val="center"/>
              <w:rPr>
                <w:rFonts w:ascii="Times New Roman" w:hAnsi="Times New Roman"/>
                <w:b w:val="false"/>
                <w:b w:val="false"/>
                <w:bCs w:val="false"/>
                <w:i w:val="false"/>
                <w:i w:val="false"/>
                <w:iCs w:val="false"/>
                <w:strike w:val="false"/>
                <w:dstrike w:val="false"/>
                <w:outline w:val="false"/>
                <w:shadow w:val="false"/>
                <w:color w:val="000000"/>
                <w:sz w:val="20"/>
                <w:szCs w:val="20"/>
                <w:u w:val="none"/>
                <w:shd w:fill="auto" w:val="clear"/>
              </w:rPr>
            </w:pPr>
            <w:r>
              <w:rPr>
                <w:rFonts w:ascii="Times New Roman" w:hAnsi="Times New Roman"/>
                <w:b w:val="false"/>
                <w:bCs w:val="false"/>
                <w:i w:val="false"/>
                <w:iCs w:val="false"/>
                <w:strike w:val="false"/>
                <w:dstrike w:val="false"/>
                <w:outline w:val="false"/>
                <w:shadow w:val="false"/>
                <w:color w:val="000000"/>
                <w:sz w:val="20"/>
                <w:szCs w:val="20"/>
                <w:u w:val="none"/>
                <w:shd w:fill="auto" w:val="clear"/>
              </w:rPr>
            </w:r>
          </w:p>
        </w:tc>
        <w:tc>
          <w:tcPr>
            <w:tcW w:w="960" w:type="dxa"/>
            <w:tcBorders/>
          </w:tcPr>
          <w:p>
            <w:pPr>
              <w:pStyle w:val="Contenudetableau"/>
              <w:bidi w:val="0"/>
              <w:jc w:val="center"/>
              <w:rPr>
                <w:rFonts w:ascii="Times New Roman" w:hAnsi="Times New Roman"/>
                <w:b w:val="false"/>
                <w:b w:val="false"/>
                <w:bCs w:val="false"/>
                <w:i w:val="false"/>
                <w:i w:val="false"/>
                <w:iCs w:val="false"/>
                <w:strike w:val="false"/>
                <w:dstrike w:val="false"/>
                <w:outline w:val="false"/>
                <w:shadow w:val="false"/>
                <w:color w:val="000000"/>
                <w:sz w:val="20"/>
                <w:szCs w:val="20"/>
                <w:u w:val="none"/>
                <w:shd w:fill="auto" w:val="clear"/>
              </w:rPr>
            </w:pPr>
            <w:r>
              <w:rPr>
                <w:rFonts w:ascii="Times New Roman" w:hAnsi="Times New Roman"/>
                <w:b w:val="false"/>
                <w:bCs w:val="false"/>
                <w:i w:val="false"/>
                <w:iCs w:val="false"/>
                <w:strike w:val="false"/>
                <w:dstrike w:val="false"/>
                <w:outline w:val="false"/>
                <w:shadow w:val="false"/>
                <w:color w:val="000000"/>
                <w:sz w:val="20"/>
                <w:szCs w:val="20"/>
                <w:u w:val="none"/>
                <w:shd w:fill="auto" w:val="clear"/>
              </w:rPr>
              <w:t>0,173</w:t>
            </w:r>
          </w:p>
        </w:tc>
      </w:tr>
      <w:tr>
        <w:trPr/>
        <w:tc>
          <w:tcPr>
            <w:tcW w:w="3348" w:type="dxa"/>
            <w:tcBorders/>
          </w:tcPr>
          <w:p>
            <w:pPr>
              <w:pStyle w:val="Contenudetableau"/>
              <w:bidi w:val="0"/>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shd w:fill="auto" w:val="clear"/>
              </w:rPr>
            </w:pPr>
            <w:r>
              <w:rPr>
                <w:rFonts w:ascii="Times New Roman" w:hAnsi="Times New Roman"/>
                <w:b w:val="false"/>
                <w:bCs w:val="false"/>
                <w:i w:val="false"/>
                <w:iCs w:val="false"/>
                <w:strike w:val="false"/>
                <w:dstrike w:val="false"/>
                <w:outline w:val="false"/>
                <w:shadow w:val="false"/>
                <w:color w:val="000000"/>
                <w:sz w:val="20"/>
                <w:szCs w:val="20"/>
                <w:u w:val="none"/>
                <w:shd w:fill="auto" w:val="clear"/>
              </w:rPr>
              <w:t>Sex ratio</w:t>
            </w:r>
          </w:p>
        </w:tc>
        <w:tc>
          <w:tcPr>
            <w:tcW w:w="900" w:type="dxa"/>
            <w:tcBorders/>
          </w:tcPr>
          <w:p>
            <w:pPr>
              <w:pStyle w:val="Contenudetableau"/>
              <w:bidi w:val="0"/>
              <w:jc w:val="center"/>
              <w:rPr>
                <w:rFonts w:ascii="Times New Roman" w:hAnsi="Times New Roman"/>
                <w:b w:val="false"/>
                <w:b w:val="false"/>
                <w:bCs w:val="false"/>
                <w:i w:val="false"/>
                <w:i w:val="false"/>
                <w:iCs w:val="false"/>
                <w:strike w:val="false"/>
                <w:dstrike w:val="false"/>
                <w:outline w:val="false"/>
                <w:shadow w:val="false"/>
                <w:color w:val="000000"/>
                <w:sz w:val="20"/>
                <w:szCs w:val="20"/>
                <w:u w:val="none"/>
                <w:shd w:fill="auto" w:val="clear"/>
              </w:rPr>
            </w:pPr>
            <w:r>
              <w:rPr>
                <w:rFonts w:ascii="Times New Roman" w:hAnsi="Times New Roman"/>
                <w:b w:val="false"/>
                <w:bCs w:val="false"/>
                <w:i w:val="false"/>
                <w:iCs w:val="false"/>
                <w:strike w:val="false"/>
                <w:dstrike w:val="false"/>
                <w:outline w:val="false"/>
                <w:shadow w:val="false"/>
                <w:color w:val="000000"/>
                <w:sz w:val="20"/>
                <w:szCs w:val="20"/>
                <w:u w:val="none"/>
                <w:shd w:fill="auto" w:val="clear"/>
              </w:rPr>
              <w:t>1,5</w:t>
            </w:r>
          </w:p>
        </w:tc>
        <w:tc>
          <w:tcPr>
            <w:tcW w:w="1140" w:type="dxa"/>
            <w:tcBorders/>
          </w:tcPr>
          <w:p>
            <w:pPr>
              <w:pStyle w:val="Contenudetableau"/>
              <w:bidi w:val="0"/>
              <w:jc w:val="center"/>
              <w:rPr>
                <w:rFonts w:ascii="Times New Roman" w:hAnsi="Times New Roman"/>
                <w:b w:val="false"/>
                <w:b w:val="false"/>
                <w:bCs w:val="false"/>
                <w:i w:val="false"/>
                <w:i w:val="false"/>
                <w:iCs w:val="false"/>
                <w:strike w:val="false"/>
                <w:dstrike w:val="false"/>
                <w:outline w:val="false"/>
                <w:shadow w:val="false"/>
                <w:color w:val="000000"/>
                <w:sz w:val="20"/>
                <w:szCs w:val="20"/>
                <w:u w:val="none"/>
                <w:shd w:fill="auto" w:val="clear"/>
              </w:rPr>
            </w:pPr>
            <w:r>
              <w:rPr>
                <w:rFonts w:ascii="Times New Roman" w:hAnsi="Times New Roman"/>
                <w:b w:val="false"/>
                <w:bCs w:val="false"/>
                <w:i w:val="false"/>
                <w:iCs w:val="false"/>
                <w:strike w:val="false"/>
                <w:dstrike w:val="false"/>
                <w:outline w:val="false"/>
                <w:shadow w:val="false"/>
                <w:color w:val="000000"/>
                <w:sz w:val="20"/>
                <w:szCs w:val="20"/>
                <w:u w:val="none"/>
                <w:shd w:fill="auto" w:val="clear"/>
              </w:rPr>
            </w:r>
          </w:p>
        </w:tc>
        <w:tc>
          <w:tcPr>
            <w:tcW w:w="900" w:type="dxa"/>
            <w:tcBorders/>
          </w:tcPr>
          <w:p>
            <w:pPr>
              <w:pStyle w:val="Contenudetableau"/>
              <w:bidi w:val="0"/>
              <w:jc w:val="center"/>
              <w:rPr>
                <w:rFonts w:ascii="Times New Roman" w:hAnsi="Times New Roman"/>
                <w:b w:val="false"/>
                <w:b w:val="false"/>
                <w:bCs w:val="false"/>
                <w:i w:val="false"/>
                <w:i w:val="false"/>
                <w:iCs w:val="false"/>
                <w:strike w:val="false"/>
                <w:dstrike w:val="false"/>
                <w:outline w:val="false"/>
                <w:shadow w:val="false"/>
                <w:color w:val="000000"/>
                <w:sz w:val="20"/>
                <w:szCs w:val="20"/>
                <w:u w:val="none"/>
                <w:shd w:fill="auto" w:val="clear"/>
              </w:rPr>
            </w:pPr>
            <w:r>
              <w:rPr>
                <w:rFonts w:ascii="Times New Roman" w:hAnsi="Times New Roman"/>
                <w:b w:val="false"/>
                <w:bCs w:val="false"/>
                <w:i w:val="false"/>
                <w:iCs w:val="false"/>
                <w:strike w:val="false"/>
                <w:dstrike w:val="false"/>
                <w:outline w:val="false"/>
                <w:shadow w:val="false"/>
                <w:color w:val="000000"/>
                <w:sz w:val="20"/>
                <w:szCs w:val="20"/>
                <w:u w:val="none"/>
                <w:shd w:fill="auto" w:val="clear"/>
              </w:rPr>
              <w:t>2,2</w:t>
            </w:r>
          </w:p>
        </w:tc>
        <w:tc>
          <w:tcPr>
            <w:tcW w:w="1080" w:type="dxa"/>
            <w:tcBorders/>
          </w:tcPr>
          <w:p>
            <w:pPr>
              <w:pStyle w:val="Contenudetableau"/>
              <w:bidi w:val="0"/>
              <w:jc w:val="center"/>
              <w:rPr>
                <w:rFonts w:ascii="Times New Roman" w:hAnsi="Times New Roman"/>
                <w:b w:val="false"/>
                <w:b w:val="false"/>
                <w:bCs w:val="false"/>
                <w:i w:val="false"/>
                <w:i w:val="false"/>
                <w:iCs w:val="false"/>
                <w:strike w:val="false"/>
                <w:dstrike w:val="false"/>
                <w:outline w:val="false"/>
                <w:shadow w:val="false"/>
                <w:color w:val="000000"/>
                <w:sz w:val="20"/>
                <w:szCs w:val="20"/>
                <w:u w:val="none"/>
                <w:shd w:fill="auto" w:val="clear"/>
              </w:rPr>
            </w:pPr>
            <w:r>
              <w:rPr>
                <w:rFonts w:ascii="Times New Roman" w:hAnsi="Times New Roman"/>
                <w:b w:val="false"/>
                <w:bCs w:val="false"/>
                <w:i w:val="false"/>
                <w:iCs w:val="false"/>
                <w:strike w:val="false"/>
                <w:dstrike w:val="false"/>
                <w:outline w:val="false"/>
                <w:shadow w:val="false"/>
                <w:color w:val="000000"/>
                <w:sz w:val="20"/>
                <w:szCs w:val="20"/>
                <w:u w:val="none"/>
                <w:shd w:fill="auto" w:val="clear"/>
              </w:rPr>
            </w:r>
          </w:p>
        </w:tc>
        <w:tc>
          <w:tcPr>
            <w:tcW w:w="960" w:type="dxa"/>
            <w:tcBorders/>
          </w:tcPr>
          <w:p>
            <w:pPr>
              <w:pStyle w:val="Contenudetableau"/>
              <w:bidi w:val="0"/>
              <w:jc w:val="center"/>
              <w:rPr>
                <w:rFonts w:ascii="Times New Roman" w:hAnsi="Times New Roman"/>
                <w:b w:val="false"/>
                <w:b w:val="false"/>
                <w:bCs w:val="false"/>
                <w:i w:val="false"/>
                <w:i w:val="false"/>
                <w:iCs w:val="false"/>
                <w:strike w:val="false"/>
                <w:dstrike w:val="false"/>
                <w:outline w:val="false"/>
                <w:shadow w:val="false"/>
                <w:color w:val="000000"/>
                <w:sz w:val="20"/>
                <w:szCs w:val="20"/>
                <w:u w:val="none"/>
                <w:shd w:fill="auto" w:val="clear"/>
              </w:rPr>
            </w:pPr>
            <w:r>
              <w:rPr>
                <w:rFonts w:ascii="Times New Roman" w:hAnsi="Times New Roman"/>
                <w:b w:val="false"/>
                <w:bCs w:val="false"/>
                <w:i w:val="false"/>
                <w:iCs w:val="false"/>
                <w:strike w:val="false"/>
                <w:dstrike w:val="false"/>
                <w:outline w:val="false"/>
                <w:shadow w:val="false"/>
                <w:color w:val="000000"/>
                <w:sz w:val="20"/>
                <w:szCs w:val="20"/>
                <w:u w:val="none"/>
                <w:shd w:fill="auto" w:val="clear"/>
              </w:rPr>
              <w:t>1,000</w:t>
            </w:r>
          </w:p>
        </w:tc>
      </w:tr>
      <w:tr>
        <w:trPr/>
        <w:tc>
          <w:tcPr>
            <w:tcW w:w="3348" w:type="dxa"/>
            <w:tcBorders/>
          </w:tcPr>
          <w:p>
            <w:pPr>
              <w:pStyle w:val="Contenudetableau"/>
              <w:bidi w:val="0"/>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shd w:fill="auto" w:val="clear"/>
              </w:rPr>
            </w:pPr>
            <w:r>
              <w:rPr>
                <w:rFonts w:ascii="Times New Roman" w:hAnsi="Times New Roman"/>
                <w:b w:val="false"/>
                <w:bCs w:val="false"/>
                <w:i w:val="false"/>
                <w:iCs w:val="false"/>
                <w:strike w:val="false"/>
                <w:dstrike w:val="false"/>
                <w:outline w:val="false"/>
                <w:shadow w:val="false"/>
                <w:color w:val="000000"/>
                <w:sz w:val="20"/>
                <w:szCs w:val="20"/>
                <w:u w:val="none"/>
                <w:shd w:fill="auto" w:val="clear"/>
              </w:rPr>
              <w:t>Délai moyen de consultation (mois)</w:t>
            </w:r>
          </w:p>
        </w:tc>
        <w:tc>
          <w:tcPr>
            <w:tcW w:w="900" w:type="dxa"/>
            <w:tcBorders/>
          </w:tcPr>
          <w:p>
            <w:pPr>
              <w:pStyle w:val="Contenudetableau"/>
              <w:bidi w:val="0"/>
              <w:jc w:val="center"/>
              <w:rPr>
                <w:rFonts w:ascii="Times New Roman" w:hAnsi="Times New Roman"/>
                <w:b w:val="false"/>
                <w:b w:val="false"/>
                <w:bCs w:val="false"/>
                <w:i w:val="false"/>
                <w:i w:val="false"/>
                <w:iCs w:val="false"/>
                <w:strike w:val="false"/>
                <w:dstrike w:val="false"/>
                <w:outline w:val="false"/>
                <w:shadow w:val="false"/>
                <w:color w:val="000000"/>
                <w:sz w:val="20"/>
                <w:szCs w:val="20"/>
                <w:u w:val="none"/>
                <w:shd w:fill="auto" w:val="clear"/>
              </w:rPr>
            </w:pPr>
            <w:r>
              <w:rPr>
                <w:rFonts w:ascii="Times New Roman" w:hAnsi="Times New Roman"/>
                <w:b w:val="false"/>
                <w:bCs w:val="false"/>
                <w:i w:val="false"/>
                <w:iCs w:val="false"/>
                <w:strike w:val="false"/>
                <w:dstrike w:val="false"/>
                <w:outline w:val="false"/>
                <w:shadow w:val="false"/>
                <w:color w:val="000000"/>
                <w:sz w:val="20"/>
                <w:szCs w:val="20"/>
                <w:u w:val="none"/>
                <w:shd w:fill="auto" w:val="clear"/>
              </w:rPr>
              <w:t>3</w:t>
            </w:r>
          </w:p>
        </w:tc>
        <w:tc>
          <w:tcPr>
            <w:tcW w:w="1140" w:type="dxa"/>
            <w:tcBorders/>
          </w:tcPr>
          <w:p>
            <w:pPr>
              <w:pStyle w:val="Contenudetableau"/>
              <w:bidi w:val="0"/>
              <w:jc w:val="center"/>
              <w:rPr>
                <w:rFonts w:ascii="Times New Roman" w:hAnsi="Times New Roman"/>
                <w:b w:val="false"/>
                <w:b w:val="false"/>
                <w:bCs w:val="false"/>
                <w:i w:val="false"/>
                <w:i w:val="false"/>
                <w:iCs w:val="false"/>
                <w:strike w:val="false"/>
                <w:dstrike w:val="false"/>
                <w:outline w:val="false"/>
                <w:shadow w:val="false"/>
                <w:color w:val="000000"/>
                <w:sz w:val="20"/>
                <w:szCs w:val="20"/>
                <w:u w:val="none"/>
                <w:shd w:fill="auto" w:val="clear"/>
              </w:rPr>
            </w:pPr>
            <w:r>
              <w:rPr>
                <w:rFonts w:ascii="Times New Roman" w:hAnsi="Times New Roman"/>
                <w:b w:val="false"/>
                <w:bCs w:val="false"/>
                <w:i w:val="false"/>
                <w:iCs w:val="false"/>
                <w:strike w:val="false"/>
                <w:dstrike w:val="false"/>
                <w:outline w:val="false"/>
                <w:shadow w:val="false"/>
                <w:color w:val="000000"/>
                <w:sz w:val="20"/>
                <w:szCs w:val="20"/>
                <w:u w:val="none"/>
                <w:shd w:fill="auto" w:val="clear"/>
              </w:rPr>
            </w:r>
          </w:p>
        </w:tc>
        <w:tc>
          <w:tcPr>
            <w:tcW w:w="900" w:type="dxa"/>
            <w:tcBorders/>
          </w:tcPr>
          <w:p>
            <w:pPr>
              <w:pStyle w:val="Contenudetableau"/>
              <w:bidi w:val="0"/>
              <w:jc w:val="center"/>
              <w:rPr>
                <w:rFonts w:ascii="Times New Roman" w:hAnsi="Times New Roman"/>
                <w:b w:val="false"/>
                <w:b w:val="false"/>
                <w:bCs w:val="false"/>
                <w:i w:val="false"/>
                <w:i w:val="false"/>
                <w:iCs w:val="false"/>
                <w:strike w:val="false"/>
                <w:dstrike w:val="false"/>
                <w:outline w:val="false"/>
                <w:shadow w:val="false"/>
                <w:color w:val="000000"/>
                <w:sz w:val="20"/>
                <w:szCs w:val="20"/>
                <w:u w:val="none"/>
                <w:shd w:fill="auto" w:val="clear"/>
              </w:rPr>
            </w:pPr>
            <w:r>
              <w:rPr>
                <w:rFonts w:ascii="Times New Roman" w:hAnsi="Times New Roman"/>
                <w:b w:val="false"/>
                <w:bCs w:val="false"/>
                <w:i w:val="false"/>
                <w:iCs w:val="false"/>
                <w:strike w:val="false"/>
                <w:dstrike w:val="false"/>
                <w:outline w:val="false"/>
                <w:shadow w:val="false"/>
                <w:color w:val="000000"/>
                <w:sz w:val="20"/>
                <w:szCs w:val="20"/>
                <w:u w:val="none"/>
                <w:shd w:fill="auto" w:val="clear"/>
              </w:rPr>
              <w:t>7</w:t>
            </w:r>
          </w:p>
        </w:tc>
        <w:tc>
          <w:tcPr>
            <w:tcW w:w="1080" w:type="dxa"/>
            <w:tcBorders/>
          </w:tcPr>
          <w:p>
            <w:pPr>
              <w:pStyle w:val="Contenudetableau"/>
              <w:bidi w:val="0"/>
              <w:jc w:val="center"/>
              <w:rPr>
                <w:rFonts w:ascii="Times New Roman" w:hAnsi="Times New Roman"/>
                <w:b w:val="false"/>
                <w:b w:val="false"/>
                <w:bCs w:val="false"/>
                <w:i w:val="false"/>
                <w:i w:val="false"/>
                <w:iCs w:val="false"/>
                <w:strike w:val="false"/>
                <w:dstrike w:val="false"/>
                <w:outline w:val="false"/>
                <w:shadow w:val="false"/>
                <w:color w:val="000000"/>
                <w:sz w:val="20"/>
                <w:szCs w:val="20"/>
                <w:u w:val="none"/>
                <w:shd w:fill="auto" w:val="clear"/>
              </w:rPr>
            </w:pPr>
            <w:r>
              <w:rPr>
                <w:rFonts w:ascii="Times New Roman" w:hAnsi="Times New Roman"/>
                <w:b w:val="false"/>
                <w:bCs w:val="false"/>
                <w:i w:val="false"/>
                <w:iCs w:val="false"/>
                <w:strike w:val="false"/>
                <w:dstrike w:val="false"/>
                <w:outline w:val="false"/>
                <w:shadow w:val="false"/>
                <w:color w:val="000000"/>
                <w:sz w:val="20"/>
                <w:szCs w:val="20"/>
                <w:u w:val="none"/>
                <w:shd w:fill="auto" w:val="clear"/>
              </w:rPr>
            </w:r>
          </w:p>
        </w:tc>
        <w:tc>
          <w:tcPr>
            <w:tcW w:w="960" w:type="dxa"/>
            <w:tcBorders/>
          </w:tcPr>
          <w:p>
            <w:pPr>
              <w:pStyle w:val="Contenudetableau"/>
              <w:bidi w:val="0"/>
              <w:jc w:val="center"/>
              <w:rPr>
                <w:rFonts w:ascii="Times New Roman" w:hAnsi="Times New Roman"/>
                <w:b w:val="false"/>
                <w:b w:val="false"/>
                <w:bCs w:val="false"/>
                <w:i w:val="false"/>
                <w:i w:val="false"/>
                <w:iCs w:val="false"/>
                <w:strike w:val="false"/>
                <w:dstrike w:val="false"/>
                <w:outline w:val="false"/>
                <w:shadow w:val="false"/>
                <w:color w:val="000000"/>
                <w:sz w:val="20"/>
                <w:szCs w:val="20"/>
                <w:u w:val="none"/>
                <w:shd w:fill="auto" w:val="clear"/>
              </w:rPr>
            </w:pPr>
            <w:r>
              <w:rPr>
                <w:rFonts w:ascii="Times New Roman" w:hAnsi="Times New Roman"/>
                <w:b w:val="false"/>
                <w:bCs w:val="false"/>
                <w:i w:val="false"/>
                <w:iCs w:val="false"/>
                <w:strike w:val="false"/>
                <w:dstrike w:val="false"/>
                <w:outline w:val="false"/>
                <w:shadow w:val="false"/>
                <w:color w:val="000000"/>
                <w:sz w:val="20"/>
                <w:szCs w:val="20"/>
                <w:u w:val="none"/>
                <w:shd w:fill="auto" w:val="clear"/>
              </w:rPr>
              <w:t>0,206</w:t>
            </w:r>
          </w:p>
        </w:tc>
      </w:tr>
      <w:tr>
        <w:trPr/>
        <w:tc>
          <w:tcPr>
            <w:tcW w:w="3348" w:type="dxa"/>
            <w:tcBorders/>
          </w:tcPr>
          <w:p>
            <w:pPr>
              <w:pStyle w:val="Contenudetableau"/>
              <w:bidi w:val="0"/>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shd w:fill="auto" w:val="clear"/>
              </w:rPr>
            </w:pPr>
            <w:r>
              <w:rPr>
                <w:rFonts w:ascii="Times New Roman" w:hAnsi="Times New Roman"/>
                <w:b w:val="false"/>
                <w:bCs w:val="false"/>
                <w:i w:val="false"/>
                <w:iCs w:val="false"/>
                <w:strike w:val="false"/>
                <w:dstrike w:val="false"/>
                <w:outline w:val="false"/>
                <w:shadow w:val="false"/>
                <w:color w:val="000000"/>
                <w:sz w:val="20"/>
                <w:szCs w:val="20"/>
                <w:u w:val="none"/>
                <w:shd w:fill="auto" w:val="clear"/>
              </w:rPr>
              <w:t>Mauvais état général</w:t>
            </w:r>
          </w:p>
        </w:tc>
        <w:tc>
          <w:tcPr>
            <w:tcW w:w="900" w:type="dxa"/>
            <w:tcBorders/>
          </w:tcPr>
          <w:p>
            <w:pPr>
              <w:pStyle w:val="Contenudetableau"/>
              <w:bidi w:val="0"/>
              <w:jc w:val="center"/>
              <w:rPr>
                <w:rFonts w:ascii="Times New Roman" w:hAnsi="Times New Roman"/>
                <w:b w:val="false"/>
                <w:b w:val="false"/>
                <w:bCs w:val="false"/>
                <w:i w:val="false"/>
                <w:i w:val="false"/>
                <w:iCs w:val="false"/>
                <w:strike w:val="false"/>
                <w:dstrike w:val="false"/>
                <w:outline w:val="false"/>
                <w:shadow w:val="false"/>
                <w:color w:val="000000"/>
                <w:sz w:val="20"/>
                <w:szCs w:val="20"/>
                <w:u w:val="none"/>
                <w:shd w:fill="auto" w:val="clear"/>
              </w:rPr>
            </w:pPr>
            <w:r>
              <w:rPr>
                <w:rFonts w:ascii="Times New Roman" w:hAnsi="Times New Roman"/>
                <w:b w:val="false"/>
                <w:bCs w:val="false"/>
                <w:i w:val="false"/>
                <w:iCs w:val="false"/>
                <w:strike w:val="false"/>
                <w:dstrike w:val="false"/>
                <w:outline w:val="false"/>
                <w:shadow w:val="false"/>
                <w:color w:val="000000"/>
                <w:sz w:val="20"/>
                <w:szCs w:val="20"/>
                <w:u w:val="none"/>
                <w:shd w:fill="auto" w:val="clear"/>
              </w:rPr>
              <w:t>9</w:t>
            </w:r>
          </w:p>
        </w:tc>
        <w:tc>
          <w:tcPr>
            <w:tcW w:w="1140" w:type="dxa"/>
            <w:tcBorders/>
          </w:tcPr>
          <w:p>
            <w:pPr>
              <w:pStyle w:val="Contenudetableau"/>
              <w:bidi w:val="0"/>
              <w:jc w:val="center"/>
              <w:rPr>
                <w:rFonts w:ascii="Times New Roman" w:hAnsi="Times New Roman"/>
                <w:b w:val="false"/>
                <w:b w:val="false"/>
                <w:bCs w:val="false"/>
                <w:i w:val="false"/>
                <w:i w:val="false"/>
                <w:iCs w:val="false"/>
                <w:strike w:val="false"/>
                <w:dstrike w:val="false"/>
                <w:outline w:val="false"/>
                <w:shadow w:val="false"/>
                <w:color w:val="000000"/>
                <w:sz w:val="20"/>
                <w:szCs w:val="20"/>
                <w:u w:val="none"/>
                <w:shd w:fill="auto" w:val="clear"/>
              </w:rPr>
            </w:pPr>
            <w:r>
              <w:rPr>
                <w:rFonts w:ascii="Times New Roman" w:hAnsi="Times New Roman"/>
                <w:b w:val="false"/>
                <w:bCs w:val="false"/>
                <w:i w:val="false"/>
                <w:iCs w:val="false"/>
                <w:strike w:val="false"/>
                <w:dstrike w:val="false"/>
                <w:outline w:val="false"/>
                <w:shadow w:val="false"/>
                <w:color w:val="000000"/>
                <w:sz w:val="20"/>
                <w:szCs w:val="20"/>
                <w:u w:val="none"/>
                <w:shd w:fill="auto" w:val="clear"/>
              </w:rPr>
              <w:t>64,2</w:t>
            </w:r>
          </w:p>
        </w:tc>
        <w:tc>
          <w:tcPr>
            <w:tcW w:w="900" w:type="dxa"/>
            <w:tcBorders/>
          </w:tcPr>
          <w:p>
            <w:pPr>
              <w:pStyle w:val="Contenudetableau"/>
              <w:bidi w:val="0"/>
              <w:jc w:val="center"/>
              <w:rPr>
                <w:rFonts w:ascii="Times New Roman" w:hAnsi="Times New Roman"/>
                <w:b w:val="false"/>
                <w:b w:val="false"/>
                <w:bCs w:val="false"/>
                <w:i w:val="false"/>
                <w:i w:val="false"/>
                <w:iCs w:val="false"/>
                <w:strike w:val="false"/>
                <w:dstrike w:val="false"/>
                <w:outline w:val="false"/>
                <w:shadow w:val="false"/>
                <w:color w:val="000000"/>
                <w:sz w:val="20"/>
                <w:szCs w:val="20"/>
                <w:u w:val="none"/>
                <w:shd w:fill="auto" w:val="clear"/>
              </w:rPr>
            </w:pPr>
            <w:r>
              <w:rPr>
                <w:rFonts w:ascii="Times New Roman" w:hAnsi="Times New Roman"/>
                <w:b w:val="false"/>
                <w:bCs w:val="false"/>
                <w:i w:val="false"/>
                <w:iCs w:val="false"/>
                <w:strike w:val="false"/>
                <w:dstrike w:val="false"/>
                <w:outline w:val="false"/>
                <w:shadow w:val="false"/>
                <w:color w:val="000000"/>
                <w:sz w:val="20"/>
                <w:szCs w:val="20"/>
                <w:u w:val="none"/>
                <w:shd w:fill="auto" w:val="clear"/>
              </w:rPr>
              <w:t>14</w:t>
            </w:r>
          </w:p>
        </w:tc>
        <w:tc>
          <w:tcPr>
            <w:tcW w:w="1080" w:type="dxa"/>
            <w:tcBorders/>
          </w:tcPr>
          <w:p>
            <w:pPr>
              <w:pStyle w:val="Contenudetableau"/>
              <w:bidi w:val="0"/>
              <w:jc w:val="center"/>
              <w:rPr>
                <w:rFonts w:ascii="Times New Roman" w:hAnsi="Times New Roman"/>
                <w:b w:val="false"/>
                <w:b w:val="false"/>
                <w:bCs w:val="false"/>
                <w:i w:val="false"/>
                <w:i w:val="false"/>
                <w:iCs w:val="false"/>
                <w:strike w:val="false"/>
                <w:dstrike w:val="false"/>
                <w:outline w:val="false"/>
                <w:shadow w:val="false"/>
                <w:color w:val="000000"/>
                <w:sz w:val="20"/>
                <w:szCs w:val="20"/>
                <w:u w:val="none"/>
                <w:shd w:fill="auto" w:val="clear"/>
              </w:rPr>
            </w:pPr>
            <w:r>
              <w:rPr>
                <w:rFonts w:ascii="Times New Roman" w:hAnsi="Times New Roman"/>
                <w:b w:val="false"/>
                <w:bCs w:val="false"/>
                <w:i w:val="false"/>
                <w:iCs w:val="false"/>
                <w:strike w:val="false"/>
                <w:dstrike w:val="false"/>
                <w:outline w:val="false"/>
                <w:shadow w:val="false"/>
                <w:color w:val="000000"/>
                <w:sz w:val="20"/>
                <w:szCs w:val="20"/>
                <w:u w:val="none"/>
                <w:shd w:fill="auto" w:val="clear"/>
              </w:rPr>
              <w:t>20,3</w:t>
            </w:r>
          </w:p>
        </w:tc>
        <w:tc>
          <w:tcPr>
            <w:tcW w:w="960" w:type="dxa"/>
            <w:tcBorders/>
          </w:tcPr>
          <w:p>
            <w:pPr>
              <w:pStyle w:val="Contenudetableau"/>
              <w:bidi w:val="0"/>
              <w:jc w:val="center"/>
              <w:rPr>
                <w:rFonts w:ascii="Times New Roman" w:hAnsi="Times New Roman"/>
                <w:b w:val="false"/>
                <w:b w:val="false"/>
                <w:bCs w:val="false"/>
                <w:i w:val="false"/>
                <w:i w:val="false"/>
                <w:iCs w:val="false"/>
                <w:strike w:val="false"/>
                <w:dstrike w:val="false"/>
                <w:outline w:val="false"/>
                <w:shadow w:val="false"/>
                <w:color w:val="000000"/>
                <w:sz w:val="20"/>
                <w:szCs w:val="20"/>
                <w:u w:val="none"/>
                <w:shd w:fill="auto" w:val="clear"/>
              </w:rPr>
            </w:pPr>
            <w:r>
              <w:rPr>
                <w:rFonts w:ascii="Times New Roman" w:hAnsi="Times New Roman"/>
                <w:b w:val="false"/>
                <w:bCs w:val="false"/>
                <w:i w:val="false"/>
                <w:iCs w:val="false"/>
                <w:strike w:val="false"/>
                <w:dstrike w:val="false"/>
                <w:outline w:val="false"/>
                <w:shadow w:val="false"/>
                <w:color w:val="000000"/>
                <w:sz w:val="20"/>
                <w:szCs w:val="20"/>
                <w:u w:val="none"/>
                <w:shd w:fill="auto" w:val="clear"/>
              </w:rPr>
              <w:t>0,004</w:t>
            </w:r>
          </w:p>
        </w:tc>
      </w:tr>
      <w:tr>
        <w:trPr/>
        <w:tc>
          <w:tcPr>
            <w:tcW w:w="3348" w:type="dxa"/>
            <w:tcBorders/>
          </w:tcPr>
          <w:p>
            <w:pPr>
              <w:pStyle w:val="Contenudetableau"/>
              <w:bidi w:val="0"/>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shd w:fill="auto" w:val="clear"/>
              </w:rPr>
            </w:pPr>
            <w:r>
              <w:rPr>
                <w:rFonts w:ascii="Times New Roman" w:hAnsi="Times New Roman"/>
                <w:b w:val="false"/>
                <w:bCs w:val="false"/>
                <w:i w:val="false"/>
                <w:iCs w:val="false"/>
                <w:strike w:val="false"/>
                <w:dstrike w:val="false"/>
                <w:outline w:val="false"/>
                <w:shadow w:val="false"/>
                <w:color w:val="000000"/>
                <w:sz w:val="20"/>
                <w:szCs w:val="20"/>
                <w:u w:val="none"/>
                <w:shd w:fill="auto" w:val="clear"/>
              </w:rPr>
              <w:t xml:space="preserve">Syndrome rachidien </w:t>
            </w:r>
            <w:r>
              <w:rPr>
                <w:rFonts w:ascii="Times New Roman" w:hAnsi="Times New Roman"/>
                <w:b w:val="false"/>
                <w:bCs w:val="false"/>
                <w:i w:val="false"/>
                <w:iCs w:val="false"/>
                <w:strike w:val="false"/>
                <w:dstrike w:val="false"/>
                <w:outline w:val="false"/>
                <w:shadow w:val="false"/>
                <w:color w:val="000000"/>
                <w:sz w:val="20"/>
                <w:szCs w:val="20"/>
                <w:u w:val="none"/>
                <w:shd w:fill="auto" w:val="clear"/>
              </w:rPr>
              <w:t>l</w:t>
            </w:r>
            <w:r>
              <w:rPr>
                <w:rFonts w:ascii="Times New Roman" w:hAnsi="Times New Roman"/>
                <w:b w:val="false"/>
                <w:bCs w:val="false"/>
                <w:i w:val="false"/>
                <w:iCs w:val="false"/>
                <w:strike w:val="false"/>
                <w:dstrike w:val="false"/>
                <w:outline w:val="false"/>
                <w:shadow w:val="false"/>
                <w:color w:val="000000"/>
                <w:sz w:val="20"/>
                <w:szCs w:val="20"/>
                <w:u w:val="none"/>
                <w:shd w:fill="auto" w:val="clear"/>
              </w:rPr>
              <w:t xml:space="preserve">ombaire </w:t>
            </w:r>
          </w:p>
        </w:tc>
        <w:tc>
          <w:tcPr>
            <w:tcW w:w="900" w:type="dxa"/>
            <w:tcBorders/>
          </w:tcPr>
          <w:p>
            <w:pPr>
              <w:pStyle w:val="Contenudetableau"/>
              <w:bidi w:val="0"/>
              <w:jc w:val="center"/>
              <w:rPr>
                <w:rFonts w:ascii="Times New Roman" w:hAnsi="Times New Roman"/>
                <w:b w:val="false"/>
                <w:b w:val="false"/>
                <w:bCs w:val="false"/>
                <w:i w:val="false"/>
                <w:i w:val="false"/>
                <w:iCs w:val="false"/>
                <w:strike w:val="false"/>
                <w:dstrike w:val="false"/>
                <w:outline w:val="false"/>
                <w:shadow w:val="false"/>
                <w:color w:val="000000"/>
                <w:sz w:val="20"/>
                <w:szCs w:val="20"/>
                <w:u w:val="none"/>
                <w:shd w:fill="auto" w:val="clear"/>
              </w:rPr>
            </w:pPr>
            <w:r>
              <w:rPr>
                <w:rFonts w:ascii="Times New Roman" w:hAnsi="Times New Roman"/>
                <w:b w:val="false"/>
                <w:bCs w:val="false"/>
                <w:i w:val="false"/>
                <w:iCs w:val="false"/>
                <w:strike w:val="false"/>
                <w:dstrike w:val="false"/>
                <w:outline w:val="false"/>
                <w:shadow w:val="false"/>
                <w:color w:val="000000"/>
                <w:sz w:val="20"/>
                <w:szCs w:val="20"/>
                <w:u w:val="none"/>
                <w:shd w:fill="auto" w:val="clear"/>
              </w:rPr>
              <w:t>8</w:t>
            </w:r>
          </w:p>
        </w:tc>
        <w:tc>
          <w:tcPr>
            <w:tcW w:w="1140" w:type="dxa"/>
            <w:tcBorders/>
          </w:tcPr>
          <w:p>
            <w:pPr>
              <w:pStyle w:val="Contenudetableau"/>
              <w:bidi w:val="0"/>
              <w:jc w:val="center"/>
              <w:rPr>
                <w:rFonts w:ascii="Times New Roman" w:hAnsi="Times New Roman"/>
                <w:b w:val="false"/>
                <w:b w:val="false"/>
                <w:bCs w:val="false"/>
                <w:i w:val="false"/>
                <w:i w:val="false"/>
                <w:iCs w:val="false"/>
                <w:strike w:val="false"/>
                <w:dstrike w:val="false"/>
                <w:outline w:val="false"/>
                <w:shadow w:val="false"/>
                <w:color w:val="000000"/>
                <w:sz w:val="20"/>
                <w:szCs w:val="20"/>
                <w:u w:val="none"/>
                <w:shd w:fill="auto" w:val="clear"/>
              </w:rPr>
            </w:pPr>
            <w:r>
              <w:rPr>
                <w:rFonts w:ascii="Times New Roman" w:hAnsi="Times New Roman"/>
                <w:b w:val="false"/>
                <w:bCs w:val="false"/>
                <w:i w:val="false"/>
                <w:iCs w:val="false"/>
                <w:strike w:val="false"/>
                <w:dstrike w:val="false"/>
                <w:outline w:val="false"/>
                <w:shadow w:val="false"/>
                <w:color w:val="000000"/>
                <w:sz w:val="20"/>
                <w:szCs w:val="20"/>
                <w:u w:val="none"/>
                <w:shd w:fill="auto" w:val="clear"/>
              </w:rPr>
              <w:t>53,3</w:t>
            </w:r>
          </w:p>
        </w:tc>
        <w:tc>
          <w:tcPr>
            <w:tcW w:w="900" w:type="dxa"/>
            <w:tcBorders/>
          </w:tcPr>
          <w:p>
            <w:pPr>
              <w:pStyle w:val="Contenudetableau"/>
              <w:bidi w:val="0"/>
              <w:jc w:val="center"/>
              <w:rPr>
                <w:rFonts w:ascii="Times New Roman" w:hAnsi="Times New Roman"/>
                <w:b w:val="false"/>
                <w:b w:val="false"/>
                <w:bCs w:val="false"/>
                <w:i w:val="false"/>
                <w:i w:val="false"/>
                <w:iCs w:val="false"/>
                <w:strike w:val="false"/>
                <w:dstrike w:val="false"/>
                <w:outline w:val="false"/>
                <w:shadow w:val="false"/>
                <w:color w:val="000000"/>
                <w:sz w:val="20"/>
                <w:szCs w:val="20"/>
                <w:u w:val="none"/>
                <w:shd w:fill="auto" w:val="clear"/>
              </w:rPr>
            </w:pPr>
            <w:r>
              <w:rPr>
                <w:rFonts w:ascii="Times New Roman" w:hAnsi="Times New Roman"/>
                <w:b w:val="false"/>
                <w:bCs w:val="false"/>
                <w:i w:val="false"/>
                <w:iCs w:val="false"/>
                <w:strike w:val="false"/>
                <w:dstrike w:val="false"/>
                <w:outline w:val="false"/>
                <w:shadow w:val="false"/>
                <w:color w:val="000000"/>
                <w:sz w:val="20"/>
                <w:szCs w:val="20"/>
                <w:u w:val="none"/>
                <w:shd w:fill="auto" w:val="clear"/>
              </w:rPr>
              <w:t>37</w:t>
            </w:r>
          </w:p>
        </w:tc>
        <w:tc>
          <w:tcPr>
            <w:tcW w:w="1080" w:type="dxa"/>
            <w:tcBorders/>
          </w:tcPr>
          <w:p>
            <w:pPr>
              <w:pStyle w:val="Contenudetableau"/>
              <w:bidi w:val="0"/>
              <w:jc w:val="center"/>
              <w:rPr>
                <w:rFonts w:ascii="Times New Roman" w:hAnsi="Times New Roman"/>
                <w:b w:val="false"/>
                <w:b w:val="false"/>
                <w:bCs w:val="false"/>
                <w:i w:val="false"/>
                <w:i w:val="false"/>
                <w:iCs w:val="false"/>
                <w:strike w:val="false"/>
                <w:dstrike w:val="false"/>
                <w:outline w:val="false"/>
                <w:shadow w:val="false"/>
                <w:color w:val="000000"/>
                <w:sz w:val="20"/>
                <w:szCs w:val="20"/>
                <w:u w:val="none"/>
                <w:shd w:fill="auto" w:val="clear"/>
              </w:rPr>
            </w:pPr>
            <w:r>
              <w:rPr>
                <w:rFonts w:ascii="Times New Roman" w:hAnsi="Times New Roman"/>
                <w:b w:val="false"/>
                <w:bCs w:val="false"/>
                <w:i w:val="false"/>
                <w:iCs w:val="false"/>
                <w:strike w:val="false"/>
                <w:dstrike w:val="false"/>
                <w:outline w:val="false"/>
                <w:shadow w:val="false"/>
                <w:color w:val="000000"/>
                <w:sz w:val="20"/>
                <w:szCs w:val="20"/>
                <w:u w:val="none"/>
                <w:shd w:fill="auto" w:val="clear"/>
              </w:rPr>
              <w:t>53,6</w:t>
            </w:r>
          </w:p>
        </w:tc>
        <w:tc>
          <w:tcPr>
            <w:tcW w:w="960" w:type="dxa"/>
            <w:tcBorders/>
          </w:tcPr>
          <w:p>
            <w:pPr>
              <w:pStyle w:val="Contenudetableau"/>
              <w:bidi w:val="0"/>
              <w:jc w:val="center"/>
              <w:rPr>
                <w:rFonts w:ascii="Times New Roman" w:hAnsi="Times New Roman"/>
                <w:b w:val="false"/>
                <w:b w:val="false"/>
                <w:bCs w:val="false"/>
                <w:i w:val="false"/>
                <w:i w:val="false"/>
                <w:iCs w:val="false"/>
                <w:strike w:val="false"/>
                <w:dstrike w:val="false"/>
                <w:outline w:val="false"/>
                <w:shadow w:val="false"/>
                <w:color w:val="000000"/>
                <w:sz w:val="20"/>
                <w:szCs w:val="20"/>
                <w:u w:val="none"/>
                <w:shd w:fill="auto" w:val="clear"/>
              </w:rPr>
            </w:pPr>
            <w:r>
              <w:rPr>
                <w:rFonts w:ascii="Times New Roman" w:hAnsi="Times New Roman"/>
                <w:b w:val="false"/>
                <w:bCs w:val="false"/>
                <w:i w:val="false"/>
                <w:iCs w:val="false"/>
                <w:strike w:val="false"/>
                <w:dstrike w:val="false"/>
                <w:outline w:val="false"/>
                <w:shadow w:val="false"/>
                <w:color w:val="000000"/>
                <w:sz w:val="20"/>
                <w:szCs w:val="20"/>
                <w:u w:val="none"/>
                <w:shd w:fill="auto" w:val="clear"/>
              </w:rPr>
              <w:t>0,00</w:t>
            </w:r>
            <w:r>
              <w:rPr>
                <w:rFonts w:ascii="Times New Roman" w:hAnsi="Times New Roman"/>
                <w:b w:val="false"/>
                <w:bCs w:val="false"/>
                <w:i w:val="false"/>
                <w:iCs w:val="false"/>
                <w:strike w:val="false"/>
                <w:dstrike w:val="false"/>
                <w:outline w:val="false"/>
                <w:shadow w:val="false"/>
                <w:color w:val="000000"/>
                <w:sz w:val="20"/>
                <w:szCs w:val="20"/>
                <w:u w:val="none"/>
                <w:shd w:fill="auto" w:val="clear"/>
              </w:rPr>
              <w:t>3</w:t>
            </w:r>
          </w:p>
        </w:tc>
      </w:tr>
      <w:tr>
        <w:trPr/>
        <w:tc>
          <w:tcPr>
            <w:tcW w:w="3348" w:type="dxa"/>
            <w:tcBorders/>
          </w:tcPr>
          <w:p>
            <w:pPr>
              <w:pStyle w:val="Contenudetableau"/>
              <w:bidi w:val="0"/>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shd w:fill="auto" w:val="clear"/>
              </w:rPr>
            </w:pPr>
            <w:r>
              <w:rPr>
                <w:rFonts w:ascii="Times New Roman" w:hAnsi="Times New Roman"/>
                <w:b w:val="false"/>
                <w:bCs w:val="false"/>
                <w:i w:val="false"/>
                <w:iCs w:val="false"/>
                <w:strike w:val="false"/>
                <w:dstrike w:val="false"/>
                <w:outline w:val="false"/>
                <w:shadow w:val="false"/>
                <w:color w:val="000000"/>
                <w:sz w:val="20"/>
                <w:szCs w:val="20"/>
                <w:u w:val="none"/>
                <w:shd w:fill="auto" w:val="clear"/>
              </w:rPr>
              <w:t>Au moins un signe de complication neurologique</w:t>
            </w:r>
          </w:p>
        </w:tc>
        <w:tc>
          <w:tcPr>
            <w:tcW w:w="900" w:type="dxa"/>
            <w:tcBorders/>
          </w:tcPr>
          <w:p>
            <w:pPr>
              <w:pStyle w:val="Contenudetableau"/>
              <w:bidi w:val="0"/>
              <w:jc w:val="center"/>
              <w:rPr>
                <w:rFonts w:ascii="Times New Roman" w:hAnsi="Times New Roman"/>
                <w:b w:val="false"/>
                <w:b w:val="false"/>
                <w:bCs w:val="false"/>
                <w:i w:val="false"/>
                <w:i w:val="false"/>
                <w:iCs w:val="false"/>
                <w:strike w:val="false"/>
                <w:dstrike w:val="false"/>
                <w:outline w:val="false"/>
                <w:shadow w:val="false"/>
                <w:color w:val="000000"/>
                <w:sz w:val="20"/>
                <w:szCs w:val="20"/>
                <w:u w:val="none"/>
                <w:shd w:fill="auto" w:val="clear"/>
              </w:rPr>
            </w:pPr>
            <w:r>
              <w:rPr>
                <w:rFonts w:ascii="Times New Roman" w:hAnsi="Times New Roman"/>
                <w:b w:val="false"/>
                <w:bCs w:val="false"/>
                <w:i w:val="false"/>
                <w:iCs w:val="false"/>
                <w:strike w:val="false"/>
                <w:dstrike w:val="false"/>
                <w:outline w:val="false"/>
                <w:shadow w:val="false"/>
                <w:color w:val="000000"/>
                <w:sz w:val="20"/>
                <w:szCs w:val="20"/>
                <w:u w:val="none"/>
                <w:shd w:fill="auto" w:val="clear"/>
              </w:rPr>
              <w:t>14</w:t>
            </w:r>
          </w:p>
        </w:tc>
        <w:tc>
          <w:tcPr>
            <w:tcW w:w="1140" w:type="dxa"/>
            <w:tcBorders/>
          </w:tcPr>
          <w:p>
            <w:pPr>
              <w:pStyle w:val="Contenudetableau"/>
              <w:bidi w:val="0"/>
              <w:jc w:val="center"/>
              <w:rPr>
                <w:rFonts w:ascii="Times New Roman" w:hAnsi="Times New Roman"/>
                <w:b w:val="false"/>
                <w:b w:val="false"/>
                <w:bCs w:val="false"/>
                <w:i w:val="false"/>
                <w:i w:val="false"/>
                <w:iCs w:val="false"/>
                <w:strike w:val="false"/>
                <w:dstrike w:val="false"/>
                <w:outline w:val="false"/>
                <w:shadow w:val="false"/>
                <w:color w:val="000000"/>
                <w:sz w:val="20"/>
                <w:szCs w:val="20"/>
                <w:u w:val="none"/>
                <w:shd w:fill="auto" w:val="clear"/>
              </w:rPr>
            </w:pPr>
            <w:r>
              <w:rPr>
                <w:rFonts w:ascii="Times New Roman" w:hAnsi="Times New Roman"/>
                <w:b w:val="false"/>
                <w:bCs w:val="false"/>
                <w:i w:val="false"/>
                <w:iCs w:val="false"/>
                <w:strike w:val="false"/>
                <w:dstrike w:val="false"/>
                <w:outline w:val="false"/>
                <w:shadow w:val="false"/>
                <w:color w:val="000000"/>
                <w:sz w:val="20"/>
                <w:szCs w:val="20"/>
                <w:u w:val="none"/>
                <w:shd w:fill="auto" w:val="clear"/>
              </w:rPr>
              <w:t>93,3</w:t>
            </w:r>
          </w:p>
        </w:tc>
        <w:tc>
          <w:tcPr>
            <w:tcW w:w="900" w:type="dxa"/>
            <w:tcBorders/>
          </w:tcPr>
          <w:p>
            <w:pPr>
              <w:pStyle w:val="Contenudetableau"/>
              <w:bidi w:val="0"/>
              <w:jc w:val="center"/>
              <w:rPr>
                <w:rFonts w:ascii="Times New Roman" w:hAnsi="Times New Roman"/>
                <w:b w:val="false"/>
                <w:b w:val="false"/>
                <w:bCs w:val="false"/>
                <w:i w:val="false"/>
                <w:i w:val="false"/>
                <w:iCs w:val="false"/>
                <w:strike w:val="false"/>
                <w:dstrike w:val="false"/>
                <w:outline w:val="false"/>
                <w:shadow w:val="false"/>
                <w:color w:val="000000"/>
                <w:sz w:val="20"/>
                <w:szCs w:val="20"/>
                <w:u w:val="none"/>
                <w:shd w:fill="auto" w:val="clear"/>
              </w:rPr>
            </w:pPr>
            <w:r>
              <w:rPr>
                <w:rFonts w:ascii="Times New Roman" w:hAnsi="Times New Roman"/>
                <w:b w:val="false"/>
                <w:bCs w:val="false"/>
                <w:i w:val="false"/>
                <w:iCs w:val="false"/>
                <w:strike w:val="false"/>
                <w:dstrike w:val="false"/>
                <w:outline w:val="false"/>
                <w:shadow w:val="false"/>
                <w:color w:val="000000"/>
                <w:sz w:val="20"/>
                <w:szCs w:val="20"/>
                <w:u w:val="none"/>
                <w:shd w:fill="auto" w:val="clear"/>
              </w:rPr>
              <w:t>48</w:t>
            </w:r>
          </w:p>
        </w:tc>
        <w:tc>
          <w:tcPr>
            <w:tcW w:w="1080" w:type="dxa"/>
            <w:tcBorders/>
          </w:tcPr>
          <w:p>
            <w:pPr>
              <w:pStyle w:val="Contenudetableau"/>
              <w:bidi w:val="0"/>
              <w:jc w:val="center"/>
              <w:rPr>
                <w:rFonts w:ascii="Times New Roman" w:hAnsi="Times New Roman"/>
                <w:b w:val="false"/>
                <w:b w:val="false"/>
                <w:bCs w:val="false"/>
                <w:i w:val="false"/>
                <w:i w:val="false"/>
                <w:iCs w:val="false"/>
                <w:strike w:val="false"/>
                <w:dstrike w:val="false"/>
                <w:outline w:val="false"/>
                <w:shadow w:val="false"/>
                <w:color w:val="000000"/>
                <w:sz w:val="20"/>
                <w:szCs w:val="20"/>
                <w:u w:val="none"/>
                <w:shd w:fill="auto" w:val="clear"/>
              </w:rPr>
            </w:pPr>
            <w:r>
              <w:rPr>
                <w:rFonts w:ascii="Times New Roman" w:hAnsi="Times New Roman"/>
                <w:b w:val="false"/>
                <w:bCs w:val="false"/>
                <w:i w:val="false"/>
                <w:iCs w:val="false"/>
                <w:strike w:val="false"/>
                <w:dstrike w:val="false"/>
                <w:outline w:val="false"/>
                <w:shadow w:val="false"/>
                <w:color w:val="000000"/>
                <w:sz w:val="20"/>
                <w:szCs w:val="20"/>
                <w:u w:val="none"/>
                <w:shd w:fill="auto" w:val="clear"/>
              </w:rPr>
              <w:t>65,5</w:t>
            </w:r>
          </w:p>
        </w:tc>
        <w:tc>
          <w:tcPr>
            <w:tcW w:w="960" w:type="dxa"/>
            <w:tcBorders/>
          </w:tcPr>
          <w:p>
            <w:pPr>
              <w:pStyle w:val="Contenudetableau"/>
              <w:bidi w:val="0"/>
              <w:jc w:val="center"/>
              <w:rPr>
                <w:rFonts w:ascii="Times New Roman" w:hAnsi="Times New Roman"/>
                <w:b w:val="false"/>
                <w:b w:val="false"/>
                <w:bCs w:val="false"/>
                <w:i w:val="false"/>
                <w:i w:val="false"/>
                <w:iCs w:val="false"/>
                <w:strike w:val="false"/>
                <w:dstrike w:val="false"/>
                <w:outline w:val="false"/>
                <w:shadow w:val="false"/>
                <w:color w:val="000000"/>
                <w:sz w:val="20"/>
                <w:szCs w:val="20"/>
                <w:u w:val="none"/>
                <w:shd w:fill="auto" w:val="clear"/>
              </w:rPr>
            </w:pPr>
            <w:r>
              <w:rPr>
                <w:rFonts w:ascii="Times New Roman" w:hAnsi="Times New Roman"/>
                <w:b w:val="false"/>
                <w:bCs w:val="false"/>
                <w:i w:val="false"/>
                <w:iCs w:val="false"/>
                <w:strike w:val="false"/>
                <w:dstrike w:val="false"/>
                <w:outline w:val="false"/>
                <w:shadow w:val="false"/>
                <w:color w:val="000000"/>
                <w:sz w:val="20"/>
                <w:szCs w:val="20"/>
                <w:u w:val="none"/>
                <w:shd w:fill="auto" w:val="clear"/>
              </w:rPr>
              <w:t>0,030</w:t>
            </w:r>
          </w:p>
        </w:tc>
      </w:tr>
      <w:tr>
        <w:trPr/>
        <w:tc>
          <w:tcPr>
            <w:tcW w:w="3348" w:type="dxa"/>
            <w:tcBorders/>
          </w:tcPr>
          <w:p>
            <w:pPr>
              <w:pStyle w:val="Contenudetableau"/>
              <w:bidi w:val="0"/>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shd w:fill="auto" w:val="clear"/>
              </w:rPr>
            </w:pPr>
            <w:r>
              <w:rPr>
                <w:rFonts w:ascii="Times New Roman" w:hAnsi="Times New Roman"/>
                <w:b w:val="false"/>
                <w:bCs w:val="false"/>
                <w:i w:val="false"/>
                <w:iCs w:val="false"/>
                <w:strike w:val="false"/>
                <w:dstrike w:val="false"/>
                <w:outline w:val="false"/>
                <w:shadow w:val="false"/>
                <w:color w:val="000000"/>
                <w:sz w:val="20"/>
                <w:szCs w:val="20"/>
                <w:u w:val="none"/>
                <w:shd w:fill="auto" w:val="clear"/>
              </w:rPr>
              <w:t xml:space="preserve">Plus d’un disque atteint </w:t>
            </w:r>
          </w:p>
        </w:tc>
        <w:tc>
          <w:tcPr>
            <w:tcW w:w="900" w:type="dxa"/>
            <w:tcBorders/>
          </w:tcPr>
          <w:p>
            <w:pPr>
              <w:pStyle w:val="Contenudetableau"/>
              <w:bidi w:val="0"/>
              <w:jc w:val="center"/>
              <w:rPr>
                <w:rFonts w:ascii="Times New Roman" w:hAnsi="Times New Roman"/>
                <w:b w:val="false"/>
                <w:b w:val="false"/>
                <w:bCs w:val="false"/>
                <w:i w:val="false"/>
                <w:i w:val="false"/>
                <w:iCs w:val="false"/>
                <w:strike w:val="false"/>
                <w:dstrike w:val="false"/>
                <w:outline w:val="false"/>
                <w:shadow w:val="false"/>
                <w:color w:val="000000"/>
                <w:sz w:val="20"/>
                <w:szCs w:val="20"/>
                <w:u w:val="none"/>
                <w:shd w:fill="auto" w:val="clear"/>
              </w:rPr>
            </w:pPr>
            <w:r>
              <w:rPr>
                <w:rFonts w:ascii="Times New Roman" w:hAnsi="Times New Roman"/>
                <w:b w:val="false"/>
                <w:bCs w:val="false"/>
                <w:i w:val="false"/>
                <w:iCs w:val="false"/>
                <w:strike w:val="false"/>
                <w:dstrike w:val="false"/>
                <w:outline w:val="false"/>
                <w:shadow w:val="false"/>
                <w:color w:val="000000"/>
                <w:sz w:val="20"/>
                <w:szCs w:val="20"/>
                <w:u w:val="none"/>
                <w:shd w:fill="auto" w:val="clear"/>
              </w:rPr>
              <w:t>12</w:t>
            </w:r>
          </w:p>
        </w:tc>
        <w:tc>
          <w:tcPr>
            <w:tcW w:w="1140" w:type="dxa"/>
            <w:tcBorders/>
          </w:tcPr>
          <w:p>
            <w:pPr>
              <w:pStyle w:val="Contenudetableau"/>
              <w:bidi w:val="0"/>
              <w:jc w:val="center"/>
              <w:rPr>
                <w:rFonts w:ascii="Times New Roman" w:hAnsi="Times New Roman"/>
                <w:b w:val="false"/>
                <w:b w:val="false"/>
                <w:bCs w:val="false"/>
                <w:i w:val="false"/>
                <w:i w:val="false"/>
                <w:iCs w:val="false"/>
                <w:strike w:val="false"/>
                <w:dstrike w:val="false"/>
                <w:outline w:val="false"/>
                <w:shadow w:val="false"/>
                <w:color w:val="000000"/>
                <w:sz w:val="20"/>
                <w:szCs w:val="20"/>
                <w:u w:val="none"/>
                <w:shd w:fill="auto" w:val="clear"/>
              </w:rPr>
            </w:pPr>
            <w:r>
              <w:rPr>
                <w:rFonts w:ascii="Times New Roman" w:hAnsi="Times New Roman"/>
                <w:b w:val="false"/>
                <w:bCs w:val="false"/>
                <w:i w:val="false"/>
                <w:iCs w:val="false"/>
                <w:strike w:val="false"/>
                <w:dstrike w:val="false"/>
                <w:outline w:val="false"/>
                <w:shadow w:val="false"/>
                <w:color w:val="000000"/>
                <w:sz w:val="20"/>
                <w:szCs w:val="20"/>
                <w:u w:val="none"/>
                <w:shd w:fill="auto" w:val="clear"/>
              </w:rPr>
              <w:t>80</w:t>
            </w:r>
          </w:p>
        </w:tc>
        <w:tc>
          <w:tcPr>
            <w:tcW w:w="900" w:type="dxa"/>
            <w:tcBorders/>
          </w:tcPr>
          <w:p>
            <w:pPr>
              <w:pStyle w:val="Contenudetableau"/>
              <w:bidi w:val="0"/>
              <w:jc w:val="center"/>
              <w:rPr>
                <w:rFonts w:ascii="Times New Roman" w:hAnsi="Times New Roman"/>
                <w:b w:val="false"/>
                <w:b w:val="false"/>
                <w:bCs w:val="false"/>
                <w:i w:val="false"/>
                <w:i w:val="false"/>
                <w:iCs w:val="false"/>
                <w:strike w:val="false"/>
                <w:dstrike w:val="false"/>
                <w:outline w:val="false"/>
                <w:shadow w:val="false"/>
                <w:color w:val="000000"/>
                <w:sz w:val="20"/>
                <w:szCs w:val="20"/>
                <w:u w:val="none"/>
                <w:shd w:fill="auto" w:val="clear"/>
              </w:rPr>
            </w:pPr>
            <w:r>
              <w:rPr>
                <w:rFonts w:ascii="Times New Roman" w:hAnsi="Times New Roman"/>
                <w:b w:val="false"/>
                <w:bCs w:val="false"/>
                <w:i w:val="false"/>
                <w:iCs w:val="false"/>
                <w:strike w:val="false"/>
                <w:dstrike w:val="false"/>
                <w:outline w:val="false"/>
                <w:shadow w:val="false"/>
                <w:color w:val="000000"/>
                <w:sz w:val="20"/>
                <w:szCs w:val="20"/>
                <w:u w:val="none"/>
                <w:shd w:fill="auto" w:val="clear"/>
              </w:rPr>
              <w:t>19</w:t>
            </w:r>
          </w:p>
        </w:tc>
        <w:tc>
          <w:tcPr>
            <w:tcW w:w="1080" w:type="dxa"/>
            <w:tcBorders/>
          </w:tcPr>
          <w:p>
            <w:pPr>
              <w:pStyle w:val="Contenudetableau"/>
              <w:bidi w:val="0"/>
              <w:jc w:val="center"/>
              <w:rPr>
                <w:rFonts w:ascii="Times New Roman" w:hAnsi="Times New Roman"/>
                <w:b w:val="false"/>
                <w:b w:val="false"/>
                <w:bCs w:val="false"/>
                <w:i w:val="false"/>
                <w:i w:val="false"/>
                <w:iCs w:val="false"/>
                <w:strike w:val="false"/>
                <w:dstrike w:val="false"/>
                <w:outline w:val="false"/>
                <w:shadow w:val="false"/>
                <w:color w:val="000000"/>
                <w:sz w:val="20"/>
                <w:szCs w:val="20"/>
                <w:u w:val="none"/>
                <w:shd w:fill="auto" w:val="clear"/>
              </w:rPr>
            </w:pPr>
            <w:r>
              <w:rPr>
                <w:rFonts w:ascii="Times New Roman" w:hAnsi="Times New Roman"/>
                <w:b w:val="false"/>
                <w:bCs w:val="false"/>
                <w:i w:val="false"/>
                <w:iCs w:val="false"/>
                <w:strike w:val="false"/>
                <w:dstrike w:val="false"/>
                <w:outline w:val="false"/>
                <w:shadow w:val="false"/>
                <w:color w:val="000000"/>
                <w:sz w:val="20"/>
                <w:szCs w:val="20"/>
                <w:u w:val="none"/>
                <w:shd w:fill="auto" w:val="clear"/>
              </w:rPr>
              <w:t>27,5</w:t>
            </w:r>
          </w:p>
        </w:tc>
        <w:tc>
          <w:tcPr>
            <w:tcW w:w="960" w:type="dxa"/>
            <w:tcBorders/>
          </w:tcPr>
          <w:p>
            <w:pPr>
              <w:pStyle w:val="Contenudetableau"/>
              <w:bidi w:val="0"/>
              <w:jc w:val="center"/>
              <w:rPr>
                <w:rFonts w:ascii="Times New Roman" w:hAnsi="Times New Roman"/>
                <w:b w:val="false"/>
                <w:b w:val="false"/>
                <w:bCs w:val="false"/>
                <w:i w:val="false"/>
                <w:i w:val="false"/>
                <w:iCs w:val="false"/>
                <w:strike w:val="false"/>
                <w:dstrike w:val="false"/>
                <w:outline w:val="false"/>
                <w:shadow w:val="false"/>
                <w:color w:val="000000"/>
                <w:sz w:val="20"/>
                <w:szCs w:val="20"/>
                <w:u w:val="none"/>
                <w:shd w:fill="auto" w:val="clear"/>
              </w:rPr>
            </w:pPr>
            <w:r>
              <w:rPr>
                <w:rFonts w:ascii="Times New Roman" w:hAnsi="Times New Roman"/>
                <w:b w:val="false"/>
                <w:bCs w:val="false"/>
                <w:i w:val="false"/>
                <w:iCs w:val="false"/>
                <w:strike w:val="false"/>
                <w:dstrike w:val="false"/>
                <w:outline w:val="false"/>
                <w:shadow w:val="false"/>
                <w:color w:val="000000"/>
                <w:sz w:val="20"/>
                <w:szCs w:val="20"/>
                <w:u w:val="none"/>
                <w:shd w:fill="auto" w:val="clear"/>
              </w:rPr>
              <w:t>0,0</w:t>
            </w:r>
            <w:r>
              <w:rPr>
                <w:rFonts w:ascii="Times New Roman" w:hAnsi="Times New Roman"/>
                <w:b w:val="false"/>
                <w:bCs w:val="false"/>
                <w:i w:val="false"/>
                <w:iCs w:val="false"/>
                <w:strike w:val="false"/>
                <w:dstrike w:val="false"/>
                <w:outline w:val="false"/>
                <w:shadow w:val="false"/>
                <w:color w:val="000000"/>
                <w:sz w:val="20"/>
                <w:szCs w:val="20"/>
                <w:u w:val="none"/>
                <w:shd w:fill="auto" w:val="clear"/>
              </w:rPr>
              <w:t>0</w:t>
            </w:r>
            <w:r>
              <w:rPr>
                <w:rFonts w:ascii="Times New Roman" w:hAnsi="Times New Roman"/>
                <w:b w:val="false"/>
                <w:bCs w:val="false"/>
                <w:i w:val="false"/>
                <w:iCs w:val="false"/>
                <w:strike w:val="false"/>
                <w:dstrike w:val="false"/>
                <w:outline w:val="false"/>
                <w:shadow w:val="false"/>
                <w:color w:val="000000"/>
                <w:sz w:val="20"/>
                <w:szCs w:val="20"/>
                <w:u w:val="none"/>
                <w:shd w:fill="auto" w:val="clear"/>
              </w:rPr>
              <w:t>0</w:t>
            </w:r>
          </w:p>
        </w:tc>
      </w:tr>
      <w:tr>
        <w:trPr/>
        <w:tc>
          <w:tcPr>
            <w:tcW w:w="3348" w:type="dxa"/>
            <w:tcBorders/>
          </w:tcPr>
          <w:p>
            <w:pPr>
              <w:pStyle w:val="Contenudetableau"/>
              <w:bidi w:val="0"/>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shd w:fill="auto" w:val="clear"/>
              </w:rPr>
            </w:pPr>
            <w:r>
              <w:rPr>
                <w:rFonts w:ascii="Times New Roman" w:hAnsi="Times New Roman"/>
                <w:b w:val="false"/>
                <w:bCs w:val="false"/>
                <w:i w:val="false"/>
                <w:iCs w:val="false"/>
                <w:strike w:val="false"/>
                <w:dstrike w:val="false"/>
                <w:outline w:val="false"/>
                <w:shadow w:val="false"/>
                <w:color w:val="000000"/>
                <w:sz w:val="20"/>
                <w:szCs w:val="20"/>
                <w:u w:val="none"/>
                <w:shd w:fill="auto" w:val="clear"/>
              </w:rPr>
              <w:t xml:space="preserve">Fuseau paravertébral </w:t>
            </w:r>
          </w:p>
        </w:tc>
        <w:tc>
          <w:tcPr>
            <w:tcW w:w="900" w:type="dxa"/>
            <w:tcBorders/>
          </w:tcPr>
          <w:p>
            <w:pPr>
              <w:pStyle w:val="Contenudetableau"/>
              <w:bidi w:val="0"/>
              <w:jc w:val="center"/>
              <w:rPr>
                <w:rFonts w:ascii="Times New Roman" w:hAnsi="Times New Roman"/>
                <w:b w:val="false"/>
                <w:b w:val="false"/>
                <w:bCs w:val="false"/>
                <w:i w:val="false"/>
                <w:i w:val="false"/>
                <w:iCs w:val="false"/>
                <w:strike w:val="false"/>
                <w:dstrike w:val="false"/>
                <w:outline w:val="false"/>
                <w:shadow w:val="false"/>
                <w:color w:val="000000"/>
                <w:sz w:val="20"/>
                <w:szCs w:val="20"/>
                <w:u w:val="none"/>
                <w:shd w:fill="auto" w:val="clear"/>
              </w:rPr>
            </w:pPr>
            <w:r>
              <w:rPr>
                <w:rFonts w:ascii="Times New Roman" w:hAnsi="Times New Roman"/>
                <w:b w:val="false"/>
                <w:bCs w:val="false"/>
                <w:i w:val="false"/>
                <w:iCs w:val="false"/>
                <w:strike w:val="false"/>
                <w:dstrike w:val="false"/>
                <w:outline w:val="false"/>
                <w:shadow w:val="false"/>
                <w:color w:val="000000"/>
                <w:sz w:val="20"/>
                <w:szCs w:val="20"/>
                <w:u w:val="none"/>
                <w:shd w:fill="auto" w:val="clear"/>
              </w:rPr>
              <w:t>10</w:t>
            </w:r>
          </w:p>
        </w:tc>
        <w:tc>
          <w:tcPr>
            <w:tcW w:w="1140" w:type="dxa"/>
            <w:tcBorders/>
          </w:tcPr>
          <w:p>
            <w:pPr>
              <w:pStyle w:val="Contenudetableau"/>
              <w:bidi w:val="0"/>
              <w:jc w:val="center"/>
              <w:rPr>
                <w:rFonts w:ascii="Times New Roman" w:hAnsi="Times New Roman"/>
                <w:b w:val="false"/>
                <w:b w:val="false"/>
                <w:bCs w:val="false"/>
                <w:i w:val="false"/>
                <w:i w:val="false"/>
                <w:iCs w:val="false"/>
                <w:strike w:val="false"/>
                <w:dstrike w:val="false"/>
                <w:outline w:val="false"/>
                <w:shadow w:val="false"/>
                <w:color w:val="000000"/>
                <w:sz w:val="20"/>
                <w:szCs w:val="20"/>
                <w:u w:val="none"/>
                <w:shd w:fill="auto" w:val="clear"/>
              </w:rPr>
            </w:pPr>
            <w:r>
              <w:rPr>
                <w:rFonts w:ascii="Times New Roman" w:hAnsi="Times New Roman"/>
                <w:b w:val="false"/>
                <w:bCs w:val="false"/>
                <w:i w:val="false"/>
                <w:iCs w:val="false"/>
                <w:strike w:val="false"/>
                <w:dstrike w:val="false"/>
                <w:outline w:val="false"/>
                <w:shadow w:val="false"/>
                <w:color w:val="000000"/>
                <w:sz w:val="20"/>
                <w:szCs w:val="20"/>
                <w:u w:val="none"/>
                <w:shd w:fill="auto" w:val="clear"/>
              </w:rPr>
              <w:t>66,6</w:t>
            </w:r>
          </w:p>
        </w:tc>
        <w:tc>
          <w:tcPr>
            <w:tcW w:w="900" w:type="dxa"/>
            <w:tcBorders/>
          </w:tcPr>
          <w:p>
            <w:pPr>
              <w:pStyle w:val="Contenudetableau"/>
              <w:bidi w:val="0"/>
              <w:jc w:val="center"/>
              <w:rPr>
                <w:rFonts w:ascii="Times New Roman" w:hAnsi="Times New Roman"/>
                <w:b w:val="false"/>
                <w:b w:val="false"/>
                <w:bCs w:val="false"/>
                <w:i w:val="false"/>
                <w:i w:val="false"/>
                <w:iCs w:val="false"/>
                <w:strike w:val="false"/>
                <w:dstrike w:val="false"/>
                <w:outline w:val="false"/>
                <w:shadow w:val="false"/>
                <w:color w:val="000000"/>
                <w:sz w:val="20"/>
                <w:szCs w:val="20"/>
                <w:u w:val="none"/>
                <w:shd w:fill="auto" w:val="clear"/>
              </w:rPr>
            </w:pPr>
            <w:r>
              <w:rPr>
                <w:rFonts w:ascii="Times New Roman" w:hAnsi="Times New Roman"/>
                <w:b w:val="false"/>
                <w:bCs w:val="false"/>
                <w:i w:val="false"/>
                <w:iCs w:val="false"/>
                <w:strike w:val="false"/>
                <w:dstrike w:val="false"/>
                <w:outline w:val="false"/>
                <w:shadow w:val="false"/>
                <w:color w:val="000000"/>
                <w:sz w:val="20"/>
                <w:szCs w:val="20"/>
                <w:u w:val="none"/>
                <w:shd w:fill="auto" w:val="clear"/>
              </w:rPr>
              <w:t>18</w:t>
            </w:r>
          </w:p>
        </w:tc>
        <w:tc>
          <w:tcPr>
            <w:tcW w:w="1080" w:type="dxa"/>
            <w:tcBorders/>
          </w:tcPr>
          <w:p>
            <w:pPr>
              <w:pStyle w:val="Contenudetableau"/>
              <w:bidi w:val="0"/>
              <w:jc w:val="center"/>
              <w:rPr>
                <w:rFonts w:ascii="Times New Roman" w:hAnsi="Times New Roman"/>
                <w:b w:val="false"/>
                <w:b w:val="false"/>
                <w:bCs w:val="false"/>
                <w:i w:val="false"/>
                <w:i w:val="false"/>
                <w:iCs w:val="false"/>
                <w:strike w:val="false"/>
                <w:dstrike w:val="false"/>
                <w:outline w:val="false"/>
                <w:shadow w:val="false"/>
                <w:color w:val="000000"/>
                <w:sz w:val="20"/>
                <w:szCs w:val="20"/>
                <w:u w:val="none"/>
                <w:shd w:fill="auto" w:val="clear"/>
              </w:rPr>
            </w:pPr>
            <w:r>
              <w:rPr>
                <w:rFonts w:ascii="Times New Roman" w:hAnsi="Times New Roman"/>
                <w:b w:val="false"/>
                <w:bCs w:val="false"/>
                <w:i w:val="false"/>
                <w:iCs w:val="false"/>
                <w:strike w:val="false"/>
                <w:dstrike w:val="false"/>
                <w:outline w:val="false"/>
                <w:shadow w:val="false"/>
                <w:color w:val="000000"/>
                <w:sz w:val="20"/>
                <w:szCs w:val="20"/>
                <w:u w:val="none"/>
                <w:shd w:fill="auto" w:val="clear"/>
              </w:rPr>
              <w:t>26,1</w:t>
            </w:r>
          </w:p>
        </w:tc>
        <w:tc>
          <w:tcPr>
            <w:tcW w:w="960" w:type="dxa"/>
            <w:tcBorders/>
          </w:tcPr>
          <w:p>
            <w:pPr>
              <w:pStyle w:val="Contenudetableau"/>
              <w:bidi w:val="0"/>
              <w:jc w:val="center"/>
              <w:rPr>
                <w:rFonts w:ascii="Times New Roman" w:hAnsi="Times New Roman"/>
                <w:b w:val="false"/>
                <w:b w:val="false"/>
                <w:bCs w:val="false"/>
                <w:i w:val="false"/>
                <w:i w:val="false"/>
                <w:iCs w:val="false"/>
                <w:strike w:val="false"/>
                <w:dstrike w:val="false"/>
                <w:outline w:val="false"/>
                <w:shadow w:val="false"/>
                <w:color w:val="000000"/>
                <w:sz w:val="20"/>
                <w:szCs w:val="20"/>
                <w:u w:val="none"/>
                <w:shd w:fill="auto" w:val="clear"/>
              </w:rPr>
            </w:pPr>
            <w:r>
              <w:rPr>
                <w:rFonts w:ascii="Times New Roman" w:hAnsi="Times New Roman"/>
                <w:b w:val="false"/>
                <w:bCs w:val="false"/>
                <w:i w:val="false"/>
                <w:iCs w:val="false"/>
                <w:strike w:val="false"/>
                <w:dstrike w:val="false"/>
                <w:outline w:val="false"/>
                <w:shadow w:val="false"/>
                <w:color w:val="000000"/>
                <w:sz w:val="20"/>
                <w:szCs w:val="20"/>
                <w:u w:val="none"/>
                <w:shd w:fill="auto" w:val="clear"/>
              </w:rPr>
              <w:t>0,0</w:t>
            </w:r>
            <w:r>
              <w:rPr>
                <w:rFonts w:ascii="Times New Roman" w:hAnsi="Times New Roman"/>
                <w:b w:val="false"/>
                <w:bCs w:val="false"/>
                <w:i w:val="false"/>
                <w:iCs w:val="false"/>
                <w:strike w:val="false"/>
                <w:dstrike w:val="false"/>
                <w:outline w:val="false"/>
                <w:shadow w:val="false"/>
                <w:color w:val="000000"/>
                <w:sz w:val="20"/>
                <w:szCs w:val="20"/>
                <w:u w:val="none"/>
                <w:shd w:fill="auto" w:val="clear"/>
              </w:rPr>
              <w:t>43</w:t>
            </w:r>
          </w:p>
        </w:tc>
      </w:tr>
      <w:tr>
        <w:trPr/>
        <w:tc>
          <w:tcPr>
            <w:tcW w:w="3348" w:type="dxa"/>
            <w:tcBorders/>
          </w:tcPr>
          <w:p>
            <w:pPr>
              <w:pStyle w:val="Contenudetableau"/>
              <w:bidi w:val="0"/>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shd w:fill="auto" w:val="clear"/>
              </w:rPr>
            </w:pPr>
            <w:r>
              <w:rPr>
                <w:rFonts w:ascii="Times New Roman" w:hAnsi="Times New Roman"/>
                <w:b w:val="false"/>
                <w:bCs w:val="false"/>
                <w:i w:val="false"/>
                <w:iCs w:val="false"/>
                <w:strike w:val="false"/>
                <w:dstrike w:val="false"/>
                <w:outline w:val="false"/>
                <w:shadow w:val="false"/>
                <w:color w:val="000000"/>
                <w:sz w:val="20"/>
                <w:szCs w:val="20"/>
                <w:u w:val="none"/>
                <w:shd w:fill="auto" w:val="clear"/>
              </w:rPr>
              <w:t xml:space="preserve">Epidurite </w:t>
            </w:r>
          </w:p>
        </w:tc>
        <w:tc>
          <w:tcPr>
            <w:tcW w:w="900" w:type="dxa"/>
            <w:tcBorders/>
          </w:tcPr>
          <w:p>
            <w:pPr>
              <w:pStyle w:val="Contenudetableau"/>
              <w:bidi w:val="0"/>
              <w:jc w:val="center"/>
              <w:rPr>
                <w:rFonts w:ascii="Times New Roman" w:hAnsi="Times New Roman"/>
                <w:b w:val="false"/>
                <w:b w:val="false"/>
                <w:bCs w:val="false"/>
                <w:i w:val="false"/>
                <w:i w:val="false"/>
                <w:iCs w:val="false"/>
                <w:strike w:val="false"/>
                <w:dstrike w:val="false"/>
                <w:outline w:val="false"/>
                <w:shadow w:val="false"/>
                <w:color w:val="000000"/>
                <w:sz w:val="20"/>
                <w:szCs w:val="20"/>
                <w:u w:val="none"/>
                <w:shd w:fill="auto" w:val="clear"/>
              </w:rPr>
            </w:pPr>
            <w:r>
              <w:rPr>
                <w:rFonts w:ascii="Times New Roman" w:hAnsi="Times New Roman"/>
                <w:b w:val="false"/>
                <w:bCs w:val="false"/>
                <w:i w:val="false"/>
                <w:iCs w:val="false"/>
                <w:strike w:val="false"/>
                <w:dstrike w:val="false"/>
                <w:outline w:val="false"/>
                <w:shadow w:val="false"/>
                <w:color w:val="000000"/>
                <w:sz w:val="20"/>
                <w:szCs w:val="20"/>
                <w:u w:val="none"/>
                <w:shd w:fill="auto" w:val="clear"/>
              </w:rPr>
              <w:t>6</w:t>
            </w:r>
          </w:p>
        </w:tc>
        <w:tc>
          <w:tcPr>
            <w:tcW w:w="1140" w:type="dxa"/>
            <w:tcBorders/>
          </w:tcPr>
          <w:p>
            <w:pPr>
              <w:pStyle w:val="Contenudetableau"/>
              <w:bidi w:val="0"/>
              <w:jc w:val="center"/>
              <w:rPr>
                <w:rFonts w:ascii="Times New Roman" w:hAnsi="Times New Roman"/>
                <w:b w:val="false"/>
                <w:b w:val="false"/>
                <w:bCs w:val="false"/>
                <w:i w:val="false"/>
                <w:i w:val="false"/>
                <w:iCs w:val="false"/>
                <w:strike w:val="false"/>
                <w:dstrike w:val="false"/>
                <w:outline w:val="false"/>
                <w:shadow w:val="false"/>
                <w:color w:val="000000"/>
                <w:sz w:val="20"/>
                <w:szCs w:val="20"/>
                <w:u w:val="none"/>
                <w:shd w:fill="auto" w:val="clear"/>
              </w:rPr>
            </w:pPr>
            <w:r>
              <w:rPr>
                <w:rFonts w:ascii="Times New Roman" w:hAnsi="Times New Roman"/>
                <w:b w:val="false"/>
                <w:bCs w:val="false"/>
                <w:i w:val="false"/>
                <w:iCs w:val="false"/>
                <w:strike w:val="false"/>
                <w:dstrike w:val="false"/>
                <w:outline w:val="false"/>
                <w:shadow w:val="false"/>
                <w:color w:val="000000"/>
                <w:sz w:val="20"/>
                <w:szCs w:val="20"/>
                <w:u w:val="none"/>
                <w:shd w:fill="auto" w:val="clear"/>
              </w:rPr>
              <w:t>40</w:t>
            </w:r>
          </w:p>
        </w:tc>
        <w:tc>
          <w:tcPr>
            <w:tcW w:w="900" w:type="dxa"/>
            <w:tcBorders/>
          </w:tcPr>
          <w:p>
            <w:pPr>
              <w:pStyle w:val="Contenudetableau"/>
              <w:bidi w:val="0"/>
              <w:jc w:val="center"/>
              <w:rPr>
                <w:rFonts w:ascii="Times New Roman" w:hAnsi="Times New Roman"/>
                <w:b w:val="false"/>
                <w:b w:val="false"/>
                <w:bCs w:val="false"/>
                <w:i w:val="false"/>
                <w:i w:val="false"/>
                <w:iCs w:val="false"/>
                <w:strike w:val="false"/>
                <w:dstrike w:val="false"/>
                <w:outline w:val="false"/>
                <w:shadow w:val="false"/>
                <w:color w:val="000000"/>
                <w:sz w:val="20"/>
                <w:szCs w:val="20"/>
                <w:u w:val="none"/>
                <w:shd w:fill="auto" w:val="clear"/>
              </w:rPr>
            </w:pPr>
            <w:r>
              <w:rPr>
                <w:rFonts w:ascii="Times New Roman" w:hAnsi="Times New Roman"/>
                <w:b w:val="false"/>
                <w:bCs w:val="false"/>
                <w:i w:val="false"/>
                <w:iCs w:val="false"/>
                <w:strike w:val="false"/>
                <w:dstrike w:val="false"/>
                <w:outline w:val="false"/>
                <w:shadow w:val="false"/>
                <w:color w:val="000000"/>
                <w:sz w:val="20"/>
                <w:szCs w:val="20"/>
                <w:u w:val="none"/>
                <w:shd w:fill="auto" w:val="clear"/>
              </w:rPr>
              <w:t>7</w:t>
            </w:r>
          </w:p>
        </w:tc>
        <w:tc>
          <w:tcPr>
            <w:tcW w:w="1080" w:type="dxa"/>
            <w:tcBorders/>
          </w:tcPr>
          <w:p>
            <w:pPr>
              <w:pStyle w:val="Contenudetableau"/>
              <w:bidi w:val="0"/>
              <w:jc w:val="center"/>
              <w:rPr>
                <w:rFonts w:ascii="Times New Roman" w:hAnsi="Times New Roman"/>
                <w:b w:val="false"/>
                <w:b w:val="false"/>
                <w:bCs w:val="false"/>
                <w:i w:val="false"/>
                <w:i w:val="false"/>
                <w:iCs w:val="false"/>
                <w:strike w:val="false"/>
                <w:dstrike w:val="false"/>
                <w:outline w:val="false"/>
                <w:shadow w:val="false"/>
                <w:color w:val="000000"/>
                <w:sz w:val="20"/>
                <w:szCs w:val="20"/>
                <w:u w:val="none"/>
                <w:shd w:fill="auto" w:val="clear"/>
              </w:rPr>
            </w:pPr>
            <w:r>
              <w:rPr>
                <w:rFonts w:ascii="Times New Roman" w:hAnsi="Times New Roman"/>
                <w:b w:val="false"/>
                <w:bCs w:val="false"/>
                <w:i w:val="false"/>
                <w:iCs w:val="false"/>
                <w:strike w:val="false"/>
                <w:dstrike w:val="false"/>
                <w:outline w:val="false"/>
                <w:shadow w:val="false"/>
                <w:color w:val="000000"/>
                <w:sz w:val="20"/>
                <w:szCs w:val="20"/>
                <w:u w:val="none"/>
                <w:shd w:fill="auto" w:val="clear"/>
              </w:rPr>
              <w:t>10,1</w:t>
            </w:r>
          </w:p>
        </w:tc>
        <w:tc>
          <w:tcPr>
            <w:tcW w:w="960" w:type="dxa"/>
            <w:tcBorders/>
          </w:tcPr>
          <w:p>
            <w:pPr>
              <w:pStyle w:val="Contenudetableau"/>
              <w:bidi w:val="0"/>
              <w:jc w:val="center"/>
              <w:rPr>
                <w:rFonts w:ascii="Times New Roman" w:hAnsi="Times New Roman"/>
                <w:b w:val="false"/>
                <w:b w:val="false"/>
                <w:bCs w:val="false"/>
                <w:i w:val="false"/>
                <w:i w:val="false"/>
                <w:iCs w:val="false"/>
                <w:strike w:val="false"/>
                <w:dstrike w:val="false"/>
                <w:outline w:val="false"/>
                <w:shadow w:val="false"/>
                <w:color w:val="000000"/>
                <w:sz w:val="20"/>
                <w:szCs w:val="20"/>
                <w:u w:val="none"/>
                <w:shd w:fill="auto" w:val="clear"/>
              </w:rPr>
            </w:pPr>
            <w:r>
              <w:rPr>
                <w:rFonts w:ascii="Times New Roman" w:hAnsi="Times New Roman"/>
                <w:b w:val="false"/>
                <w:bCs w:val="false"/>
                <w:i w:val="false"/>
                <w:iCs w:val="false"/>
                <w:strike w:val="false"/>
                <w:dstrike w:val="false"/>
                <w:outline w:val="false"/>
                <w:shadow w:val="false"/>
                <w:color w:val="000000"/>
                <w:sz w:val="20"/>
                <w:szCs w:val="20"/>
                <w:u w:val="none"/>
                <w:shd w:fill="auto" w:val="clear"/>
              </w:rPr>
              <w:t>0,0</w:t>
            </w:r>
            <w:r>
              <w:rPr>
                <w:rFonts w:ascii="Times New Roman" w:hAnsi="Times New Roman"/>
                <w:b w:val="false"/>
                <w:bCs w:val="false"/>
                <w:i w:val="false"/>
                <w:iCs w:val="false"/>
                <w:strike w:val="false"/>
                <w:dstrike w:val="false"/>
                <w:outline w:val="false"/>
                <w:shadow w:val="false"/>
                <w:color w:val="000000"/>
                <w:sz w:val="20"/>
                <w:szCs w:val="20"/>
                <w:u w:val="none"/>
                <w:shd w:fill="auto" w:val="clear"/>
              </w:rPr>
              <w:t>17</w:t>
            </w:r>
          </w:p>
        </w:tc>
      </w:tr>
      <w:tr>
        <w:trPr/>
        <w:tc>
          <w:tcPr>
            <w:tcW w:w="3348" w:type="dxa"/>
            <w:tcBorders/>
          </w:tcPr>
          <w:p>
            <w:pPr>
              <w:pStyle w:val="Contenudetableau"/>
              <w:bidi w:val="0"/>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shd w:fill="auto" w:val="clear"/>
              </w:rPr>
            </w:pPr>
            <w:r>
              <w:rPr>
                <w:rFonts w:ascii="Times New Roman" w:hAnsi="Times New Roman"/>
                <w:b w:val="false"/>
                <w:bCs w:val="false"/>
                <w:i w:val="false"/>
                <w:iCs w:val="false"/>
                <w:strike w:val="false"/>
                <w:dstrike w:val="false"/>
                <w:outline w:val="false"/>
                <w:shadow w:val="false"/>
                <w:color w:val="000000"/>
                <w:sz w:val="20"/>
                <w:szCs w:val="20"/>
                <w:u w:val="none"/>
                <w:shd w:fill="auto" w:val="clear"/>
              </w:rPr>
              <w:t>Guérison total</w:t>
            </w:r>
          </w:p>
        </w:tc>
        <w:tc>
          <w:tcPr>
            <w:tcW w:w="900" w:type="dxa"/>
            <w:tcBorders/>
          </w:tcPr>
          <w:p>
            <w:pPr>
              <w:pStyle w:val="Contenudetableau"/>
              <w:bidi w:val="0"/>
              <w:jc w:val="center"/>
              <w:rPr>
                <w:rFonts w:ascii="Times New Roman" w:hAnsi="Times New Roman"/>
                <w:b w:val="false"/>
                <w:b w:val="false"/>
                <w:bCs w:val="false"/>
                <w:i w:val="false"/>
                <w:i w:val="false"/>
                <w:iCs w:val="false"/>
                <w:strike w:val="false"/>
                <w:dstrike w:val="false"/>
                <w:outline w:val="false"/>
                <w:shadow w:val="false"/>
                <w:color w:val="000000"/>
                <w:sz w:val="20"/>
                <w:szCs w:val="20"/>
                <w:u w:val="none"/>
                <w:shd w:fill="auto" w:val="clear"/>
              </w:rPr>
            </w:pPr>
            <w:r>
              <w:rPr>
                <w:rFonts w:ascii="Times New Roman" w:hAnsi="Times New Roman"/>
                <w:b w:val="false"/>
                <w:bCs w:val="false"/>
                <w:i w:val="false"/>
                <w:iCs w:val="false"/>
                <w:strike w:val="false"/>
                <w:dstrike w:val="false"/>
                <w:outline w:val="false"/>
                <w:shadow w:val="false"/>
                <w:color w:val="000000"/>
                <w:sz w:val="20"/>
                <w:szCs w:val="20"/>
                <w:u w:val="none"/>
                <w:shd w:fill="auto" w:val="clear"/>
              </w:rPr>
              <w:t>7</w:t>
            </w:r>
          </w:p>
        </w:tc>
        <w:tc>
          <w:tcPr>
            <w:tcW w:w="1140" w:type="dxa"/>
            <w:tcBorders/>
          </w:tcPr>
          <w:p>
            <w:pPr>
              <w:pStyle w:val="Contenudetableau"/>
              <w:bidi w:val="0"/>
              <w:jc w:val="center"/>
              <w:rPr>
                <w:rFonts w:ascii="Times New Roman" w:hAnsi="Times New Roman"/>
                <w:b w:val="false"/>
                <w:b w:val="false"/>
                <w:bCs w:val="false"/>
                <w:i w:val="false"/>
                <w:i w:val="false"/>
                <w:iCs w:val="false"/>
                <w:strike w:val="false"/>
                <w:dstrike w:val="false"/>
                <w:outline w:val="false"/>
                <w:shadow w:val="false"/>
                <w:color w:val="000000"/>
                <w:sz w:val="20"/>
                <w:szCs w:val="20"/>
                <w:u w:val="none"/>
                <w:shd w:fill="auto" w:val="clear"/>
              </w:rPr>
            </w:pPr>
            <w:r>
              <w:rPr>
                <w:rFonts w:ascii="Times New Roman" w:hAnsi="Times New Roman"/>
                <w:b w:val="false"/>
                <w:bCs w:val="false"/>
                <w:i w:val="false"/>
                <w:iCs w:val="false"/>
                <w:strike w:val="false"/>
                <w:dstrike w:val="false"/>
                <w:outline w:val="false"/>
                <w:shadow w:val="false"/>
                <w:color w:val="000000"/>
                <w:sz w:val="20"/>
                <w:szCs w:val="20"/>
                <w:u w:val="none"/>
                <w:shd w:fill="auto" w:val="clear"/>
              </w:rPr>
              <w:t>46,6</w:t>
            </w:r>
          </w:p>
        </w:tc>
        <w:tc>
          <w:tcPr>
            <w:tcW w:w="900" w:type="dxa"/>
            <w:tcBorders/>
          </w:tcPr>
          <w:p>
            <w:pPr>
              <w:pStyle w:val="Contenudetableau"/>
              <w:bidi w:val="0"/>
              <w:jc w:val="center"/>
              <w:rPr>
                <w:rFonts w:ascii="Times New Roman" w:hAnsi="Times New Roman"/>
                <w:b w:val="false"/>
                <w:b w:val="false"/>
                <w:bCs w:val="false"/>
                <w:i w:val="false"/>
                <w:i w:val="false"/>
                <w:iCs w:val="false"/>
                <w:strike w:val="false"/>
                <w:dstrike w:val="false"/>
                <w:outline w:val="false"/>
                <w:shadow w:val="false"/>
                <w:color w:val="000000"/>
                <w:sz w:val="20"/>
                <w:szCs w:val="20"/>
                <w:u w:val="none"/>
                <w:shd w:fill="auto" w:val="clear"/>
              </w:rPr>
            </w:pPr>
            <w:r>
              <w:rPr>
                <w:rFonts w:ascii="Times New Roman" w:hAnsi="Times New Roman"/>
                <w:b w:val="false"/>
                <w:bCs w:val="false"/>
                <w:i w:val="false"/>
                <w:iCs w:val="false"/>
                <w:strike w:val="false"/>
                <w:dstrike w:val="false"/>
                <w:outline w:val="false"/>
                <w:shadow w:val="false"/>
                <w:color w:val="000000"/>
                <w:sz w:val="20"/>
                <w:szCs w:val="20"/>
                <w:u w:val="none"/>
                <w:shd w:fill="auto" w:val="clear"/>
              </w:rPr>
              <w:t>59</w:t>
            </w:r>
          </w:p>
        </w:tc>
        <w:tc>
          <w:tcPr>
            <w:tcW w:w="1080" w:type="dxa"/>
            <w:tcBorders/>
          </w:tcPr>
          <w:p>
            <w:pPr>
              <w:pStyle w:val="Contenudetableau"/>
              <w:bidi w:val="0"/>
              <w:jc w:val="center"/>
              <w:rPr>
                <w:rFonts w:ascii="Times New Roman" w:hAnsi="Times New Roman"/>
                <w:b w:val="false"/>
                <w:b w:val="false"/>
                <w:bCs w:val="false"/>
                <w:i w:val="false"/>
                <w:i w:val="false"/>
                <w:iCs w:val="false"/>
                <w:strike w:val="false"/>
                <w:dstrike w:val="false"/>
                <w:outline w:val="false"/>
                <w:shadow w:val="false"/>
                <w:color w:val="000000"/>
                <w:sz w:val="20"/>
                <w:szCs w:val="20"/>
                <w:u w:val="none"/>
                <w:shd w:fill="auto" w:val="clear"/>
              </w:rPr>
            </w:pPr>
            <w:r>
              <w:rPr>
                <w:rFonts w:ascii="Times New Roman" w:hAnsi="Times New Roman"/>
                <w:b w:val="false"/>
                <w:bCs w:val="false"/>
                <w:i w:val="false"/>
                <w:iCs w:val="false"/>
                <w:strike w:val="false"/>
                <w:dstrike w:val="false"/>
                <w:outline w:val="false"/>
                <w:shadow w:val="false"/>
                <w:color w:val="000000"/>
                <w:sz w:val="20"/>
                <w:szCs w:val="20"/>
                <w:u w:val="none"/>
                <w:shd w:fill="auto" w:val="clear"/>
              </w:rPr>
              <w:t>85,5</w:t>
            </w:r>
          </w:p>
        </w:tc>
        <w:tc>
          <w:tcPr>
            <w:tcW w:w="960" w:type="dxa"/>
            <w:tcBorders/>
          </w:tcPr>
          <w:p>
            <w:pPr>
              <w:pStyle w:val="Contenudetableau"/>
              <w:bidi w:val="0"/>
              <w:jc w:val="center"/>
              <w:rPr>
                <w:rFonts w:ascii="Times New Roman" w:hAnsi="Times New Roman"/>
                <w:b w:val="false"/>
                <w:b w:val="false"/>
                <w:bCs w:val="false"/>
                <w:i w:val="false"/>
                <w:i w:val="false"/>
                <w:iCs w:val="false"/>
                <w:strike w:val="false"/>
                <w:dstrike w:val="false"/>
                <w:outline w:val="false"/>
                <w:shadow w:val="false"/>
                <w:color w:val="000000"/>
                <w:sz w:val="20"/>
                <w:szCs w:val="20"/>
                <w:u w:val="none"/>
                <w:shd w:fill="auto" w:val="clear"/>
              </w:rPr>
            </w:pPr>
            <w:r>
              <w:rPr>
                <w:rFonts w:ascii="Times New Roman" w:hAnsi="Times New Roman"/>
                <w:b w:val="false"/>
                <w:bCs w:val="false"/>
                <w:i w:val="false"/>
                <w:iCs w:val="false"/>
                <w:strike w:val="false"/>
                <w:dstrike w:val="false"/>
                <w:outline w:val="false"/>
                <w:shadow w:val="false"/>
                <w:color w:val="000000"/>
                <w:sz w:val="20"/>
                <w:szCs w:val="20"/>
                <w:u w:val="none"/>
                <w:shd w:fill="auto" w:val="clear"/>
              </w:rPr>
              <w:t>0,043</w:t>
            </w:r>
          </w:p>
        </w:tc>
      </w:tr>
      <w:tr>
        <w:trPr/>
        <w:tc>
          <w:tcPr>
            <w:tcW w:w="3348" w:type="dxa"/>
            <w:tcBorders>
              <w:bottom w:val="single" w:sz="6" w:space="0" w:color="000000"/>
            </w:tcBorders>
          </w:tcPr>
          <w:p>
            <w:pPr>
              <w:pStyle w:val="Contenudetableau"/>
              <w:bidi w:val="0"/>
              <w:jc w:val="left"/>
              <w:rPr>
                <w:rFonts w:ascii="Times New Roman" w:hAnsi="Times New Roman"/>
                <w:b w:val="false"/>
                <w:b w:val="false"/>
                <w:bCs w:val="false"/>
                <w:i w:val="false"/>
                <w:i w:val="false"/>
                <w:iCs w:val="false"/>
                <w:strike w:val="false"/>
                <w:dstrike w:val="false"/>
                <w:outline w:val="false"/>
                <w:shadow w:val="false"/>
                <w:color w:val="000000"/>
                <w:sz w:val="20"/>
                <w:szCs w:val="20"/>
                <w:u w:val="none"/>
                <w:shd w:fill="auto" w:val="clear"/>
              </w:rPr>
            </w:pPr>
            <w:r>
              <w:rPr>
                <w:rFonts w:ascii="Times New Roman" w:hAnsi="Times New Roman"/>
                <w:b w:val="false"/>
                <w:bCs w:val="false"/>
                <w:i w:val="false"/>
                <w:iCs w:val="false"/>
                <w:strike w:val="false"/>
                <w:dstrike w:val="false"/>
                <w:outline w:val="false"/>
                <w:shadow w:val="false"/>
                <w:color w:val="000000"/>
                <w:sz w:val="20"/>
                <w:szCs w:val="20"/>
                <w:u w:val="none"/>
                <w:shd w:fill="auto" w:val="clear"/>
              </w:rPr>
              <w:t>Décès</w:t>
            </w:r>
          </w:p>
        </w:tc>
        <w:tc>
          <w:tcPr>
            <w:tcW w:w="900" w:type="dxa"/>
            <w:tcBorders>
              <w:bottom w:val="single" w:sz="6" w:space="0" w:color="000000"/>
            </w:tcBorders>
          </w:tcPr>
          <w:p>
            <w:pPr>
              <w:pStyle w:val="Contenudetableau"/>
              <w:bidi w:val="0"/>
              <w:jc w:val="center"/>
              <w:rPr>
                <w:rFonts w:ascii="Times New Roman" w:hAnsi="Times New Roman"/>
                <w:b w:val="false"/>
                <w:b w:val="false"/>
                <w:bCs w:val="false"/>
                <w:i w:val="false"/>
                <w:i w:val="false"/>
                <w:iCs w:val="false"/>
                <w:strike w:val="false"/>
                <w:dstrike w:val="false"/>
                <w:outline w:val="false"/>
                <w:shadow w:val="false"/>
                <w:color w:val="000000"/>
                <w:sz w:val="20"/>
                <w:szCs w:val="20"/>
                <w:u w:val="none"/>
                <w:shd w:fill="auto" w:val="clear"/>
              </w:rPr>
            </w:pPr>
            <w:r>
              <w:rPr>
                <w:rFonts w:ascii="Times New Roman" w:hAnsi="Times New Roman"/>
                <w:b w:val="false"/>
                <w:bCs w:val="false"/>
                <w:i w:val="false"/>
                <w:iCs w:val="false"/>
                <w:strike w:val="false"/>
                <w:dstrike w:val="false"/>
                <w:outline w:val="false"/>
                <w:shadow w:val="false"/>
                <w:color w:val="000000"/>
                <w:sz w:val="20"/>
                <w:szCs w:val="20"/>
                <w:u w:val="none"/>
                <w:shd w:fill="auto" w:val="clear"/>
              </w:rPr>
              <w:t>3</w:t>
            </w:r>
          </w:p>
        </w:tc>
        <w:tc>
          <w:tcPr>
            <w:tcW w:w="1140" w:type="dxa"/>
            <w:tcBorders>
              <w:bottom w:val="single" w:sz="6" w:space="0" w:color="000000"/>
            </w:tcBorders>
          </w:tcPr>
          <w:p>
            <w:pPr>
              <w:pStyle w:val="Contenudetableau"/>
              <w:bidi w:val="0"/>
              <w:jc w:val="center"/>
              <w:rPr>
                <w:rFonts w:ascii="Times New Roman" w:hAnsi="Times New Roman"/>
                <w:b w:val="false"/>
                <w:b w:val="false"/>
                <w:bCs w:val="false"/>
                <w:i w:val="false"/>
                <w:i w:val="false"/>
                <w:iCs w:val="false"/>
                <w:strike w:val="false"/>
                <w:dstrike w:val="false"/>
                <w:outline w:val="false"/>
                <w:shadow w:val="false"/>
                <w:color w:val="000000"/>
                <w:sz w:val="20"/>
                <w:szCs w:val="20"/>
                <w:u w:val="none"/>
                <w:shd w:fill="auto" w:val="clear"/>
              </w:rPr>
            </w:pPr>
            <w:r>
              <w:rPr>
                <w:rFonts w:ascii="Times New Roman" w:hAnsi="Times New Roman"/>
                <w:b w:val="false"/>
                <w:bCs w:val="false"/>
                <w:i w:val="false"/>
                <w:iCs w:val="false"/>
                <w:strike w:val="false"/>
                <w:dstrike w:val="false"/>
                <w:outline w:val="false"/>
                <w:shadow w:val="false"/>
                <w:color w:val="000000"/>
                <w:sz w:val="20"/>
                <w:szCs w:val="20"/>
                <w:u w:val="none"/>
                <w:shd w:fill="auto" w:val="clear"/>
              </w:rPr>
              <w:t>20</w:t>
            </w:r>
          </w:p>
        </w:tc>
        <w:tc>
          <w:tcPr>
            <w:tcW w:w="900" w:type="dxa"/>
            <w:tcBorders>
              <w:bottom w:val="single" w:sz="6" w:space="0" w:color="000000"/>
            </w:tcBorders>
          </w:tcPr>
          <w:p>
            <w:pPr>
              <w:pStyle w:val="Contenudetableau"/>
              <w:bidi w:val="0"/>
              <w:jc w:val="center"/>
              <w:rPr>
                <w:rFonts w:ascii="Times New Roman" w:hAnsi="Times New Roman"/>
                <w:b w:val="false"/>
                <w:b w:val="false"/>
                <w:bCs w:val="false"/>
                <w:i w:val="false"/>
                <w:i w:val="false"/>
                <w:iCs w:val="false"/>
                <w:strike w:val="false"/>
                <w:dstrike w:val="false"/>
                <w:outline w:val="false"/>
                <w:shadow w:val="false"/>
                <w:color w:val="000000"/>
                <w:sz w:val="20"/>
                <w:szCs w:val="20"/>
                <w:u w:val="none"/>
                <w:shd w:fill="auto" w:val="clear"/>
              </w:rPr>
            </w:pPr>
            <w:r>
              <w:rPr>
                <w:rFonts w:ascii="Times New Roman" w:hAnsi="Times New Roman"/>
                <w:b w:val="false"/>
                <w:bCs w:val="false"/>
                <w:i w:val="false"/>
                <w:iCs w:val="false"/>
                <w:strike w:val="false"/>
                <w:dstrike w:val="false"/>
                <w:outline w:val="false"/>
                <w:shadow w:val="false"/>
                <w:color w:val="000000"/>
                <w:sz w:val="20"/>
                <w:szCs w:val="20"/>
                <w:u w:val="none"/>
                <w:shd w:fill="auto" w:val="clear"/>
              </w:rPr>
              <w:t>1</w:t>
            </w:r>
          </w:p>
        </w:tc>
        <w:tc>
          <w:tcPr>
            <w:tcW w:w="1080" w:type="dxa"/>
            <w:tcBorders>
              <w:bottom w:val="single" w:sz="6" w:space="0" w:color="000000"/>
            </w:tcBorders>
          </w:tcPr>
          <w:p>
            <w:pPr>
              <w:pStyle w:val="Contenudetableau"/>
              <w:bidi w:val="0"/>
              <w:jc w:val="center"/>
              <w:rPr>
                <w:rFonts w:ascii="Times New Roman" w:hAnsi="Times New Roman"/>
                <w:b w:val="false"/>
                <w:b w:val="false"/>
                <w:bCs w:val="false"/>
                <w:i w:val="false"/>
                <w:i w:val="false"/>
                <w:iCs w:val="false"/>
                <w:strike w:val="false"/>
                <w:dstrike w:val="false"/>
                <w:outline w:val="false"/>
                <w:shadow w:val="false"/>
                <w:color w:val="000000"/>
                <w:sz w:val="20"/>
                <w:szCs w:val="20"/>
                <w:u w:val="none"/>
                <w:shd w:fill="auto" w:val="clear"/>
              </w:rPr>
            </w:pPr>
            <w:r>
              <w:rPr>
                <w:rFonts w:ascii="Times New Roman" w:hAnsi="Times New Roman"/>
                <w:b w:val="false"/>
                <w:bCs w:val="false"/>
                <w:i w:val="false"/>
                <w:iCs w:val="false"/>
                <w:strike w:val="false"/>
                <w:dstrike w:val="false"/>
                <w:outline w:val="false"/>
                <w:shadow w:val="false"/>
                <w:color w:val="000000"/>
                <w:sz w:val="20"/>
                <w:szCs w:val="20"/>
                <w:u w:val="none"/>
                <w:shd w:fill="auto" w:val="clear"/>
              </w:rPr>
              <w:t>1,4</w:t>
            </w:r>
          </w:p>
        </w:tc>
        <w:tc>
          <w:tcPr>
            <w:tcW w:w="960" w:type="dxa"/>
            <w:tcBorders>
              <w:bottom w:val="single" w:sz="6" w:space="0" w:color="000000"/>
            </w:tcBorders>
          </w:tcPr>
          <w:p>
            <w:pPr>
              <w:pStyle w:val="Contenudetableau"/>
              <w:bidi w:val="0"/>
              <w:jc w:val="center"/>
              <w:rPr>
                <w:rFonts w:ascii="Times New Roman" w:hAnsi="Times New Roman"/>
                <w:b w:val="false"/>
                <w:b w:val="false"/>
                <w:bCs w:val="false"/>
                <w:i w:val="false"/>
                <w:i w:val="false"/>
                <w:iCs w:val="false"/>
                <w:strike w:val="false"/>
                <w:dstrike w:val="false"/>
                <w:outline w:val="false"/>
                <w:shadow w:val="false"/>
                <w:color w:val="000000"/>
                <w:sz w:val="20"/>
                <w:szCs w:val="20"/>
                <w:u w:val="none"/>
                <w:shd w:fill="auto" w:val="clear"/>
              </w:rPr>
            </w:pPr>
            <w:r>
              <w:rPr>
                <w:rFonts w:ascii="Times New Roman" w:hAnsi="Times New Roman"/>
                <w:b w:val="false"/>
                <w:bCs w:val="false"/>
                <w:i w:val="false"/>
                <w:iCs w:val="false"/>
                <w:strike w:val="false"/>
                <w:dstrike w:val="false"/>
                <w:outline w:val="false"/>
                <w:shadow w:val="false"/>
                <w:color w:val="000000"/>
                <w:sz w:val="20"/>
                <w:szCs w:val="20"/>
                <w:u w:val="none"/>
                <w:shd w:fill="auto" w:val="clear"/>
              </w:rPr>
              <w:t>0,018</w:t>
            </w:r>
          </w:p>
        </w:tc>
      </w:tr>
    </w:tbl>
    <w:p>
      <w:pPr>
        <w:pStyle w:val="Heading1"/>
        <w:numPr>
          <w:ilvl w:val="0"/>
          <w:numId w:val="3"/>
        </w:numPr>
        <w:bidi w:val="0"/>
        <w:jc w:val="left"/>
        <w:rPr>
          <w:shd w:fill="auto" w:val="clear"/>
        </w:rPr>
      </w:pPr>
      <w:r>
        <w:rPr>
          <w:shd w:fill="auto" w:val="clear"/>
        </w:rPr>
        <w:t>Discussion</w:t>
      </w:r>
    </w:p>
    <w:p>
      <w:pPr>
        <w:pStyle w:val="Normal"/>
        <w:bidi w:val="0"/>
        <w:jc w:val="both"/>
        <w:rPr>
          <w:shd w:fill="auto" w:val="clear"/>
        </w:rPr>
      </w:pPr>
      <w:r>
        <w:rPr>
          <w:rFonts w:ascii="Times New Roman" w:hAnsi="Times New Roman"/>
          <w:sz w:val="20"/>
          <w:szCs w:val="20"/>
          <w:shd w:fill="auto" w:val="clear"/>
        </w:rPr>
        <w:t xml:space="preserve"> </w:t>
      </w:r>
      <w:r>
        <w:rPr>
          <w:rFonts w:ascii="Times New Roman" w:hAnsi="Times New Roman"/>
          <w:b w:val="false"/>
          <w:i w:val="false"/>
          <w:color w:val="000000"/>
          <w:sz w:val="20"/>
          <w:szCs w:val="20"/>
          <w:shd w:fill="auto" w:val="clear"/>
        </w:rPr>
        <w:t xml:space="preserve">Dans notre étude, 15 (17.8%) patients atteint de Mal de Pott avaient une sérologie VIH positive. Ce résultat est inférieur à celui de Leibert </w:t>
      </w:r>
      <w:r>
        <w:rPr>
          <w:rFonts w:ascii="Times New Roman" w:hAnsi="Times New Roman"/>
          <w:b w:val="false"/>
          <w:i w:val="false"/>
          <w:color w:val="000000"/>
          <w:sz w:val="20"/>
          <w:szCs w:val="20"/>
          <w:shd w:fill="auto" w:val="clear"/>
        </w:rPr>
        <w:t>[5]</w:t>
      </w:r>
      <w:r>
        <w:rPr>
          <w:rFonts w:ascii="Times New Roman" w:hAnsi="Times New Roman"/>
          <w:b w:val="false"/>
          <w:i w:val="false"/>
          <w:color w:val="000000"/>
          <w:sz w:val="20"/>
          <w:szCs w:val="20"/>
          <w:shd w:fill="auto" w:val="clear"/>
        </w:rPr>
        <w:t xml:space="preserve"> aux Etats-Unis qui rapportait 27% de patients séropositifs au VIH au cours du mal de Pott. Selon Murray, l’infection à VIH est désormais reconnue comme le facteur de risque le plus puissant jamais identifié de passage d'une infection tuberculeuse, récente ou très ancienne, à une tuberculose active </w:t>
      </w:r>
      <w:r>
        <w:rPr>
          <w:rFonts w:ascii="Times New Roman" w:hAnsi="Times New Roman"/>
          <w:b w:val="false"/>
          <w:i w:val="false"/>
          <w:color w:val="000000"/>
          <w:sz w:val="20"/>
          <w:szCs w:val="20"/>
          <w:shd w:fill="auto" w:val="clear"/>
        </w:rPr>
        <w:t>[2]</w:t>
      </w:r>
      <w:r>
        <w:rPr>
          <w:rFonts w:ascii="Times New Roman" w:hAnsi="Times New Roman"/>
          <w:b w:val="false"/>
          <w:i w:val="false"/>
          <w:color w:val="000000"/>
          <w:sz w:val="20"/>
          <w:szCs w:val="20"/>
          <w:shd w:fill="auto" w:val="clear"/>
        </w:rPr>
        <w:t xml:space="preserve">. L’âge moyen des patients était de 43,33 ans chez les patients VIH + contre 49 ans chez les VIH -. Les patients VIH étaient plus jeunes que les VIH - mais sans différence statistiquement significative. Ce résultat est comparable à celui de Govender </w:t>
      </w:r>
      <w:r>
        <w:rPr>
          <w:rFonts w:ascii="Times New Roman" w:hAnsi="Times New Roman"/>
          <w:b w:val="false"/>
          <w:i w:val="false"/>
          <w:color w:val="000000"/>
          <w:sz w:val="20"/>
          <w:szCs w:val="20"/>
          <w:shd w:fill="auto" w:val="clear"/>
        </w:rPr>
        <w:t>[2,5]</w:t>
      </w:r>
      <w:r>
        <w:rPr>
          <w:rFonts w:ascii="Times New Roman" w:hAnsi="Times New Roman"/>
          <w:b w:val="false"/>
          <w:i w:val="false"/>
          <w:color w:val="000000"/>
          <w:sz w:val="20"/>
          <w:szCs w:val="20"/>
          <w:shd w:fill="auto" w:val="clear"/>
        </w:rPr>
        <w:t xml:space="preserve"> en Afrique du Sud qui notait une population très jeune des patients VIH+ avec une moyenne d'âge de 28.5 ans chez les patients VIH+ contre 46.3 ans les patients VIH-. Par contre Yone </w:t>
      </w:r>
      <w:r>
        <w:rPr>
          <w:rFonts w:ascii="Times New Roman" w:hAnsi="Times New Roman"/>
          <w:b w:val="false"/>
          <w:i w:val="false"/>
          <w:color w:val="000000"/>
          <w:sz w:val="20"/>
          <w:szCs w:val="20"/>
          <w:shd w:fill="auto" w:val="clear"/>
        </w:rPr>
        <w:t>[6]</w:t>
      </w:r>
      <w:r>
        <w:rPr>
          <w:rFonts w:ascii="Times New Roman" w:hAnsi="Times New Roman"/>
          <w:b w:val="false"/>
          <w:i w:val="false"/>
          <w:color w:val="000000"/>
          <w:sz w:val="20"/>
          <w:szCs w:val="20"/>
          <w:shd w:fill="auto" w:val="clear"/>
        </w:rPr>
        <w:t xml:space="preserve"> au Cameroun notait une moyenne d’âge de 36 ans chez les VIH+ et 30 chez les VIH- au cours de la co-</w:t>
      </w:r>
      <w:r>
        <w:rPr>
          <w:rFonts w:ascii="Times New Roman" w:hAnsi="Times New Roman"/>
          <w:b w:val="false"/>
          <w:i w:val="false"/>
          <w:color w:val="000000"/>
          <w:sz w:val="20"/>
          <w:szCs w:val="20"/>
          <w:shd w:fill="auto" w:val="clear"/>
        </w:rPr>
        <w:t>i</w:t>
      </w:r>
      <w:r>
        <w:rPr>
          <w:rFonts w:ascii="Times New Roman" w:hAnsi="Times New Roman"/>
          <w:b w:val="false"/>
          <w:i w:val="false"/>
          <w:color w:val="000000"/>
          <w:sz w:val="20"/>
          <w:szCs w:val="20"/>
          <w:shd w:fill="auto" w:val="clear"/>
        </w:rPr>
        <w:t xml:space="preserve">nfection VIH/tuberculose toutes formes confondues. Au vu des résultats de notre étude, le VIH ne semblerait pas influencer l’âge des patients dans le mal de Pott. Par ailleurs nous pouvons dire que l’âge avancé est un facteur d’immunodépression expliquant le mal de Pott chez les sujets VIH-. Dans notre étude, le mauvais état général était plus observé chez les patients VIH+ avec 60% des patients VIH+ contre  20.3% des patients VIH-. Le VIH entrainant une immunodépression, accentuerait l’altération de l’état général </w:t>
      </w:r>
      <w:r>
        <w:rPr>
          <w:rFonts w:ascii="Times New Roman" w:hAnsi="Times New Roman"/>
          <w:b w:val="false"/>
          <w:i w:val="false"/>
          <w:color w:val="000000"/>
          <w:sz w:val="20"/>
          <w:szCs w:val="20"/>
          <w:shd w:fill="auto" w:val="clear"/>
        </w:rPr>
        <w:t>[7]</w:t>
      </w:r>
      <w:r>
        <w:rPr>
          <w:rFonts w:ascii="Times New Roman" w:hAnsi="Times New Roman"/>
          <w:b w:val="false"/>
          <w:i w:val="false"/>
          <w:color w:val="000000"/>
          <w:sz w:val="20"/>
          <w:szCs w:val="20"/>
          <w:shd w:fill="auto" w:val="clear"/>
        </w:rPr>
        <w:t xml:space="preserve">. De plus la coexistence d’autres infections opportunistes pourrait expliquer ce résultat. Les complications neurologiques étaient plus observées chez les VIH+ avec 93.3% contre 69.5% chez les VIH-. Par contre Tagbor au Togo en 2008 </w:t>
      </w:r>
      <w:r>
        <w:rPr>
          <w:rFonts w:ascii="Times New Roman" w:hAnsi="Times New Roman"/>
          <w:b w:val="false"/>
          <w:i w:val="false"/>
          <w:color w:val="000000"/>
          <w:sz w:val="20"/>
          <w:szCs w:val="20"/>
          <w:shd w:fill="auto" w:val="clear"/>
        </w:rPr>
        <w:t>[8]</w:t>
      </w:r>
      <w:r>
        <w:rPr>
          <w:rFonts w:ascii="Times New Roman" w:hAnsi="Times New Roman"/>
          <w:b w:val="false"/>
          <w:i w:val="false"/>
          <w:color w:val="000000"/>
          <w:sz w:val="20"/>
          <w:szCs w:val="20"/>
          <w:shd w:fill="auto" w:val="clear"/>
        </w:rPr>
        <w:t xml:space="preserve"> rapportait 81% de complications neurologiques chez les patients VIH+ contre 61% chez les VIH-. Dans notre étude, les patients VIH+ présentaient une atteinte de plusieurs disques intervertébraux dans 80% des cas contre 26.0% chez les patients VIH-. Ce résultat est comparable à celui de Mabiala au Congo </w:t>
      </w:r>
      <w:r>
        <w:rPr>
          <w:rFonts w:ascii="Times New Roman" w:hAnsi="Times New Roman"/>
          <w:b w:val="false"/>
          <w:i w:val="false"/>
          <w:color w:val="000000"/>
          <w:sz w:val="20"/>
          <w:szCs w:val="20"/>
          <w:shd w:fill="auto" w:val="clear"/>
        </w:rPr>
        <w:t>[9]</w:t>
      </w:r>
      <w:r>
        <w:rPr>
          <w:rFonts w:ascii="Times New Roman" w:hAnsi="Times New Roman"/>
          <w:b w:val="false"/>
          <w:i w:val="false"/>
          <w:color w:val="000000"/>
          <w:sz w:val="20"/>
          <w:szCs w:val="20"/>
          <w:shd w:fill="auto" w:val="clear"/>
        </w:rPr>
        <w:t xml:space="preserve"> qui notait une atteinte pluriétagée chez 90% des patients VIH+ contre 48.7% chez les patients VIH-. Le mal de Pott chez les patients infectés par VIH se caractérise par sa tendance pluriétagée. Le VIH entraine une diminution du nombre et du fonctionnement des lymphocytes T CD4+ ce qui provoque un déclin du système immunitaire. Ainsi, il perd sa capacité à enrayer la multiplication et l’extension locale de l’infection </w:t>
      </w:r>
      <w:r>
        <w:rPr>
          <w:rFonts w:ascii="Times New Roman" w:hAnsi="Times New Roman"/>
          <w:b w:val="false"/>
          <w:i w:val="false"/>
          <w:color w:val="000000"/>
          <w:sz w:val="20"/>
          <w:szCs w:val="20"/>
          <w:shd w:fill="auto" w:val="clear"/>
        </w:rPr>
        <w:t>[7]</w:t>
      </w:r>
      <w:r>
        <w:rPr>
          <w:rFonts w:ascii="Times New Roman" w:hAnsi="Times New Roman"/>
          <w:b w:val="false"/>
          <w:i w:val="false"/>
          <w:color w:val="000000"/>
          <w:sz w:val="20"/>
          <w:szCs w:val="20"/>
          <w:shd w:fill="auto" w:val="clear"/>
        </w:rPr>
        <w:t xml:space="preserve">. La létalité dans notre étude était plus élevée chez les patients VIH+ avec 13.3% de décès contre 1.4% chez les patients VIH-. Ce résultat se rapproche des données de la littérature </w:t>
      </w:r>
      <w:r>
        <w:rPr>
          <w:rFonts w:ascii="Times New Roman" w:hAnsi="Times New Roman"/>
          <w:b w:val="false"/>
          <w:i w:val="false"/>
          <w:color w:val="000000"/>
          <w:sz w:val="20"/>
          <w:szCs w:val="20"/>
          <w:shd w:fill="auto" w:val="clear"/>
        </w:rPr>
        <w:t>[6,10]</w:t>
      </w:r>
      <w:r>
        <w:rPr>
          <w:rFonts w:ascii="Times New Roman" w:hAnsi="Times New Roman"/>
          <w:b w:val="false"/>
          <w:i w:val="false"/>
          <w:color w:val="000000"/>
          <w:sz w:val="20"/>
          <w:szCs w:val="20"/>
          <w:shd w:fill="auto" w:val="clear"/>
        </w:rPr>
        <w:t>. En effet, Yone rapportait taux de mortalité de 10.5% chez les patients VIH+ contre 1.9% chez les patients VIH- au cours de la co</w:t>
      </w:r>
      <w:r>
        <w:rPr>
          <w:rFonts w:ascii="Times New Roman" w:hAnsi="Times New Roman"/>
          <w:b w:val="false"/>
          <w:i w:val="false"/>
          <w:color w:val="000000"/>
          <w:sz w:val="20"/>
          <w:szCs w:val="20"/>
          <w:shd w:fill="auto" w:val="clear"/>
        </w:rPr>
        <w:t>i</w:t>
      </w:r>
      <w:r>
        <w:rPr>
          <w:rFonts w:ascii="Times New Roman" w:hAnsi="Times New Roman"/>
          <w:b w:val="false"/>
          <w:i w:val="false"/>
          <w:color w:val="000000"/>
          <w:sz w:val="20"/>
          <w:szCs w:val="20"/>
          <w:shd w:fill="auto" w:val="clear"/>
        </w:rPr>
        <w:t>nfection VIH/tuberculose toute forme confondue.</w:t>
      </w:r>
    </w:p>
    <w:p>
      <w:pPr>
        <w:pStyle w:val="Heading1"/>
        <w:numPr>
          <w:ilvl w:val="0"/>
          <w:numId w:val="3"/>
        </w:numPr>
        <w:bidi w:val="0"/>
        <w:jc w:val="left"/>
        <w:rPr>
          <w:shd w:fill="auto" w:val="clear"/>
        </w:rPr>
      </w:pPr>
      <w:r>
        <w:rPr>
          <w:shd w:fill="auto" w:val="clear"/>
        </w:rPr>
        <w:t xml:space="preserve">Conclusion </w:t>
      </w:r>
    </w:p>
    <w:p>
      <w:pPr>
        <w:pStyle w:val="Normal"/>
        <w:bidi w:val="0"/>
        <w:jc w:val="left"/>
        <w:rPr>
          <w:rFonts w:ascii="Times New Roman" w:hAnsi="Times New Roman"/>
          <w:sz w:val="20"/>
          <w:szCs w:val="20"/>
          <w:shd w:fill="auto" w:val="clear"/>
        </w:rPr>
      </w:pPr>
      <w:r>
        <w:rPr>
          <w:rFonts w:ascii="Times New Roman" w:hAnsi="Times New Roman"/>
          <w:sz w:val="20"/>
          <w:szCs w:val="20"/>
          <w:shd w:fill="auto" w:val="clear"/>
        </w:rPr>
        <w:t xml:space="preserve"> </w:t>
      </w:r>
      <w:r>
        <w:rPr>
          <w:rFonts w:ascii="Times New Roman" w:hAnsi="Times New Roman"/>
          <w:b w:val="false"/>
          <w:i w:val="false"/>
          <w:color w:val="000000"/>
          <w:sz w:val="20"/>
          <w:szCs w:val="20"/>
          <w:shd w:fill="auto" w:val="clear"/>
        </w:rPr>
        <w:t xml:space="preserve">L’infection à VIH n’influence pas les paramètres épidémiologiques au cours du mal de Pott. Par contre, les patients dont la sérologie VIH est positive sont vus au stade de complication, et présentent une atteinte pluri étagée. Ainsi la co infection VIH mal de Pott est de mauvais pronostic comparée aux patients présentant un mal de Pott sans infection à VIH. </w:t>
      </w:r>
    </w:p>
    <w:p>
      <w:pPr>
        <w:pStyle w:val="Heading1"/>
        <w:numPr>
          <w:ilvl w:val="0"/>
          <w:numId w:val="0"/>
        </w:numPr>
        <w:bidi w:val="0"/>
        <w:ind w:left="360" w:hanging="0"/>
        <w:jc w:val="left"/>
        <w:rPr>
          <w:shd w:fill="auto" w:val="clear"/>
        </w:rPr>
      </w:pPr>
      <w:r>
        <w:rPr>
          <w:shd w:fill="auto" w:val="clear"/>
        </w:rPr>
        <w:t>Faits connus :</w:t>
      </w:r>
    </w:p>
    <w:p>
      <w:pPr>
        <w:pStyle w:val="Corpsdetexte"/>
        <w:bidi w:val="0"/>
        <w:jc w:val="left"/>
        <w:rPr>
          <w:shd w:fill="auto" w:val="clear"/>
        </w:rPr>
      </w:pPr>
      <w:r>
        <w:rPr>
          <w:shd w:fill="auto" w:val="clear"/>
        </w:rPr>
      </w:r>
    </w:p>
    <w:p>
      <w:pPr>
        <w:pStyle w:val="Heading1"/>
        <w:numPr>
          <w:ilvl w:val="0"/>
          <w:numId w:val="0"/>
        </w:numPr>
        <w:bidi w:val="0"/>
        <w:ind w:hanging="0"/>
        <w:jc w:val="left"/>
        <w:rPr>
          <w:shd w:fill="auto" w:val="clear"/>
        </w:rPr>
      </w:pPr>
      <w:r>
        <w:rPr>
          <w:shd w:fill="auto" w:val="clear"/>
        </w:rPr>
        <w:t xml:space="preserve">Apports de l’étude : </w:t>
      </w:r>
    </w:p>
    <w:p>
      <w:pPr>
        <w:pStyle w:val="Corpsdetexte"/>
        <w:bidi w:val="0"/>
        <w:jc w:val="left"/>
        <w:rPr>
          <w:shd w:fill="auto" w:val="clear"/>
        </w:rPr>
      </w:pPr>
      <w:r>
        <w:rPr>
          <w:shd w:fill="auto" w:val="clear"/>
        </w:rPr>
      </w:r>
    </w:p>
    <w:p>
      <w:pPr>
        <w:pStyle w:val="Heading1"/>
        <w:numPr>
          <w:ilvl w:val="0"/>
          <w:numId w:val="0"/>
        </w:numPr>
        <w:bidi w:val="0"/>
        <w:ind w:hanging="0"/>
        <w:jc w:val="left"/>
        <w:rPr>
          <w:shd w:fill="auto" w:val="clear"/>
        </w:rPr>
      </w:pPr>
      <w:r>
        <w:rPr>
          <w:shd w:fill="auto" w:val="clear"/>
        </w:rPr>
        <w:t xml:space="preserve">Conflits d’intérêt : </w:t>
      </w:r>
    </w:p>
    <w:p>
      <w:pPr>
        <w:pStyle w:val="Corpsdetexte"/>
        <w:bidi w:val="0"/>
        <w:jc w:val="left"/>
        <w:rPr>
          <w:shd w:fill="auto" w:val="clear"/>
        </w:rPr>
      </w:pPr>
      <w:r>
        <w:rPr>
          <w:shd w:fill="auto" w:val="clear"/>
        </w:rPr>
      </w:r>
    </w:p>
    <w:p>
      <w:pPr>
        <w:pStyle w:val="Heading1"/>
        <w:numPr>
          <w:ilvl w:val="0"/>
          <w:numId w:val="0"/>
        </w:numPr>
        <w:bidi w:val="0"/>
        <w:ind w:hanging="0"/>
        <w:jc w:val="left"/>
        <w:rPr>
          <w:shd w:fill="auto" w:val="clear"/>
        </w:rPr>
      </w:pPr>
      <w:r>
        <w:rPr>
          <w:shd w:fill="auto" w:val="clear"/>
        </w:rPr>
        <w:t>Contribution des auteurs :</w:t>
      </w:r>
    </w:p>
    <w:p>
      <w:pPr>
        <w:pStyle w:val="Corpsdetexte"/>
        <w:bidi w:val="0"/>
        <w:jc w:val="left"/>
        <w:rPr>
          <w:shd w:fill="auto" w:val="clear"/>
        </w:rPr>
      </w:pPr>
      <w:r>
        <w:rPr>
          <w:shd w:fill="auto" w:val="clear"/>
        </w:rPr>
      </w:r>
    </w:p>
    <w:p>
      <w:pPr>
        <w:pStyle w:val="Heading1"/>
        <w:numPr>
          <w:ilvl w:val="0"/>
          <w:numId w:val="0"/>
        </w:numPr>
        <w:bidi w:val="0"/>
        <w:ind w:hanging="0"/>
        <w:jc w:val="left"/>
        <w:rPr>
          <w:shd w:fill="auto" w:val="clear"/>
        </w:rPr>
      </w:pPr>
      <w:r>
        <w:rPr>
          <w:shd w:fill="auto" w:val="clear"/>
        </w:rPr>
        <w:t>Remerciements</w:t>
      </w:r>
    </w:p>
    <w:p>
      <w:pPr>
        <w:pStyle w:val="Corpsdetexte"/>
        <w:bidi w:val="0"/>
        <w:jc w:val="left"/>
        <w:rPr>
          <w:shd w:fill="auto" w:val="clear"/>
        </w:rPr>
      </w:pPr>
      <w:r>
        <w:rPr>
          <w:shd w:fill="auto" w:val="clear"/>
        </w:rPr>
      </w:r>
    </w:p>
    <w:p>
      <w:pPr>
        <w:pStyle w:val="Heading1"/>
        <w:numPr>
          <w:ilvl w:val="0"/>
          <w:numId w:val="0"/>
        </w:numPr>
        <w:bidi w:val="0"/>
        <w:ind w:hanging="0"/>
        <w:jc w:val="left"/>
        <w:rPr>
          <w:shd w:fill="auto" w:val="clear"/>
        </w:rPr>
      </w:pPr>
      <w:r>
        <w:rPr>
          <w:shd w:fill="auto" w:val="clear"/>
        </w:rPr>
        <w:t xml:space="preserve">Références </w:t>
      </w:r>
    </w:p>
    <w:p>
      <w:pPr>
        <w:sectPr>
          <w:headerReference w:type="default" r:id="rId2"/>
          <w:headerReference w:type="first" r:id="rId3"/>
          <w:footerReference w:type="default" r:id="rId4"/>
          <w:footerReference w:type="first" r:id="rId5"/>
          <w:type w:val="nextPage"/>
          <w:pgSz w:w="11906" w:h="16838"/>
          <w:pgMar w:left="1134" w:right="1134" w:header="1134" w:top="1698" w:footer="1134" w:bottom="1709" w:gutter="0"/>
          <w:pgNumType w:fmt="decimal"/>
          <w:formProt w:val="false"/>
          <w:titlePg/>
          <w:textDirection w:val="lrTb"/>
          <w:docGrid w:type="default" w:linePitch="312" w:charSpace="2047"/>
        </w:sectPr>
      </w:pPr>
    </w:p>
    <w:p>
      <w:pPr>
        <w:pStyle w:val="Bibliographie1"/>
        <w:bidi w:val="0"/>
        <w:jc w:val="both"/>
        <w:rPr>
          <w:shd w:fill="auto" w:val="clear"/>
        </w:rPr>
      </w:pPr>
      <w:r>
        <w:rPr>
          <w:shd w:fill="auto" w:val="clear"/>
        </w:rPr>
        <w:t xml:space="preserve">1. </w:t>
        <w:tab/>
        <w:t>Auregan G. Les indicateurs épidémiologiques de la tuberculose. Cah Détudes Rech Francoph Santé. 1997;7(2):97</w:t>
        <w:noBreakHyphen/>
        <w:t xml:space="preserve">102. </w:t>
      </w:r>
    </w:p>
    <w:p>
      <w:pPr>
        <w:pStyle w:val="Bibliographie1"/>
        <w:bidi w:val="0"/>
        <w:jc w:val="both"/>
        <w:rPr>
          <w:shd w:fill="auto" w:val="clear"/>
        </w:rPr>
      </w:pPr>
      <w:r>
        <w:rPr>
          <w:shd w:fill="auto" w:val="clear"/>
        </w:rPr>
        <w:t xml:space="preserve">2. </w:t>
        <w:tab/>
        <w:t>Murray J. La tuberculose dans le monde: situation et perspectives en l’an 2001. Rev Mal Respir. 2001;(18):479</w:t>
        <w:noBreakHyphen/>
        <w:t xml:space="preserve">84. </w:t>
      </w:r>
    </w:p>
    <w:p>
      <w:pPr>
        <w:pStyle w:val="Bibliographie1"/>
        <w:bidi w:val="0"/>
        <w:jc w:val="both"/>
        <w:rPr>
          <w:shd w:fill="auto" w:val="clear"/>
        </w:rPr>
      </w:pPr>
      <w:r>
        <w:rPr>
          <w:shd w:fill="auto" w:val="clear"/>
        </w:rPr>
        <w:t xml:space="preserve">3. </w:t>
        <w:tab/>
        <w:t xml:space="preserve">Corbett EL, Watt CJ, Walker N, Maher D, Williams BG, Raviglione MC, et al. The Growing Burden of Tuberculosis: Global Trends and Interactions With the HIV Epidemic. Arch Intern Med. 12 mai 2003;163(9):1009. </w:t>
      </w:r>
    </w:p>
    <w:p>
      <w:pPr>
        <w:pStyle w:val="Bibliographie1"/>
        <w:bidi w:val="0"/>
        <w:jc w:val="both"/>
        <w:rPr>
          <w:shd w:fill="auto" w:val="clear"/>
        </w:rPr>
      </w:pPr>
      <w:r>
        <w:rPr>
          <w:shd w:fill="auto" w:val="clear"/>
        </w:rPr>
        <w:t xml:space="preserve">4. </w:t>
        <w:tab/>
        <w:t xml:space="preserve">OMS. Tuberculose liée au VIH : le nombre des cas et des décès atteint de proportions alarmantes en Afrique. Rapport sur la lutte antituberculeuse. Génève, Suisse: OMS; 2005 p. 8. </w:t>
      </w:r>
    </w:p>
    <w:p>
      <w:pPr>
        <w:pStyle w:val="Bibliographie1"/>
        <w:bidi w:val="0"/>
        <w:jc w:val="both"/>
        <w:rPr>
          <w:shd w:fill="auto" w:val="clear"/>
        </w:rPr>
      </w:pPr>
      <w:r>
        <w:rPr>
          <w:shd w:fill="auto" w:val="clear"/>
        </w:rPr>
        <w:t xml:space="preserve">5. </w:t>
        <w:tab/>
        <w:t>Leibert E, Schluger NW, Bonk S, Rom WN. Spinal tuberculosis in patients with human immunodeficiency virus infection: clinical presentation, therapy and outcome. Tuber Lung Dis Off J Int Union Tuberc Lung Dis. août 1996;77(4):329</w:t>
        <w:noBreakHyphen/>
        <w:t xml:space="preserve">34. </w:t>
      </w:r>
    </w:p>
    <w:p>
      <w:pPr>
        <w:pStyle w:val="Bibliographie1"/>
        <w:bidi w:val="0"/>
        <w:jc w:val="both"/>
        <w:rPr>
          <w:shd w:fill="auto" w:val="clear"/>
        </w:rPr>
      </w:pPr>
      <w:r>
        <w:rPr>
          <w:shd w:fill="auto" w:val="clear"/>
        </w:rPr>
        <w:t xml:space="preserve">6. </w:t>
        <w:tab/>
        <w:t>Yone ÉWP, Kuaban C, Kengne AP. Impact of HIV infection on the evolution of tuberculosis among adult patients in Yaounde, Cameroon. Rev Pneumol Clin. déc 2012;68(6):338</w:t>
        <w:noBreakHyphen/>
        <w:t xml:space="preserve">44. </w:t>
      </w:r>
    </w:p>
    <w:p>
      <w:pPr>
        <w:pStyle w:val="Bibliographie1"/>
        <w:bidi w:val="0"/>
        <w:jc w:val="both"/>
        <w:rPr>
          <w:shd w:fill="auto" w:val="clear"/>
        </w:rPr>
      </w:pPr>
      <w:r>
        <w:rPr>
          <w:shd w:fill="auto" w:val="clear"/>
        </w:rPr>
        <w:t xml:space="preserve">7. </w:t>
        <w:tab/>
        <w:t xml:space="preserve">Harries A, Weltgesundheitsorganisation, éditeurs. TB/VIH manuel clinique. 2. éd. Genève: OMS; 2005. 227 p. </w:t>
      </w:r>
    </w:p>
    <w:p>
      <w:pPr>
        <w:pStyle w:val="Bibliographie1"/>
        <w:bidi w:val="0"/>
        <w:jc w:val="both"/>
        <w:rPr>
          <w:shd w:fill="auto" w:val="clear"/>
        </w:rPr>
      </w:pPr>
      <w:r>
        <w:rPr>
          <w:shd w:fill="auto" w:val="clear"/>
        </w:rPr>
        <w:t xml:space="preserve">8. </w:t>
        <w:tab/>
        <w:t>Tagbor K, Oniankitan O, Bagayoko Y, Fianyo E, Kakpovi K, Houzou P, et al. Le VIH influence-t-il l’expression sémiologique de la spondylodiscite tuberculeuse? [Internet]. Communication affichée présenté à: 21e congrès français de rhumatologie; 2008 [cité 29 juill 2021]; Paris. Disponible sur: https://congres.la-rhumatologie.com/files/files/programme_2008.pdf#page=46&amp;zoom=auto,-17,109</w:t>
      </w:r>
    </w:p>
    <w:p>
      <w:pPr>
        <w:pStyle w:val="Bibliographie1"/>
        <w:bidi w:val="0"/>
        <w:jc w:val="both"/>
        <w:rPr>
          <w:shd w:fill="auto" w:val="clear"/>
        </w:rPr>
      </w:pPr>
      <w:r>
        <w:rPr>
          <w:shd w:fill="auto" w:val="clear"/>
        </w:rPr>
        <w:t xml:space="preserve">9. </w:t>
        <w:tab/>
        <w:t>Babela JR, Makosso E, Nzingoula S, Senga P. Aspects radiologiques du mal de Pott chez l’enfant. A propos de 92 cas. Asp Radiol Mal Pott Chez Enfant Propos 92 Cas. 2005;98(1):14</w:t>
        <w:noBreakHyphen/>
        <w:t xml:space="preserve">7. </w:t>
      </w:r>
    </w:p>
    <w:p>
      <w:pPr>
        <w:pStyle w:val="Bibliographie1"/>
        <w:bidi w:val="0"/>
        <w:jc w:val="both"/>
        <w:rPr>
          <w:shd w:fill="auto" w:val="clear"/>
        </w:rPr>
      </w:pPr>
      <w:r>
        <w:rPr>
          <w:shd w:fill="auto" w:val="clear"/>
        </w:rPr>
        <w:t xml:space="preserve">10. </w:t>
        <w:tab/>
        <w:t xml:space="preserve">Sobottke R, Zarghooni K, Krengel M, Delank S, Seifert H, Fätkenheuer G, et al. Treatment of spondylodiscitis in human immunodeficiency virus-infected patients: a comparison of conservative and operative therapy. Spine. 1 juin 2009;34(13):E452-8. </w:t>
      </w:r>
    </w:p>
    <w:p>
      <w:pPr>
        <w:sectPr>
          <w:type w:val="continuous"/>
          <w:pgSz w:w="11906" w:h="16838"/>
          <w:pgMar w:left="1134" w:right="1134" w:header="1134" w:top="1698" w:footer="1134" w:bottom="1709" w:gutter="0"/>
          <w:formProt w:val="false"/>
          <w:titlePg/>
          <w:textDirection w:val="lrTb"/>
          <w:docGrid w:type="default" w:linePitch="312" w:charSpace="2047"/>
        </w:sectPr>
      </w:pPr>
    </w:p>
    <w:p>
      <w:pPr>
        <w:pStyle w:val="Corpsdetexte"/>
        <w:bidi w:val="0"/>
        <w:spacing w:before="0" w:after="140"/>
        <w:jc w:val="both"/>
        <w:rPr>
          <w:shd w:fill="auto" w:val="clear"/>
        </w:rPr>
      </w:pPr>
      <w:r>
        <w:rPr>
          <w:shd w:fill="auto" w:val="clear"/>
        </w:rPr>
      </w:r>
    </w:p>
    <w:sectPr>
      <w:headerReference w:type="default" r:id="rId6"/>
      <w:headerReference w:type="first" r:id="rId7"/>
      <w:footerReference w:type="default" r:id="rId8"/>
      <w:footerReference w:type="first" r:id="rId9"/>
      <w:type w:val="continuous"/>
      <w:pgSz w:w="11906" w:h="16838"/>
      <w:pgMar w:left="1134" w:right="1134" w:header="1134" w:top="1698" w:footer="1134" w:bottom="1709" w:gutter="0"/>
      <w:pgNumType w:fmt="decimal"/>
      <w:formProt w:val="false"/>
      <w:titlePg/>
      <w:textDirection w:val="lrTb"/>
      <w:docGrid w:type="default" w:linePitch="312" w:charSpace="20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New Roman">
    <w:charset w:val="01"/>
    <w:family w:val="roman"/>
    <w:pitch w:val="variable"/>
  </w:font>
  <w:font w:name="Liberation Sans">
    <w:altName w:val="Arial"/>
    <w:charset w:val="00"/>
    <w:family w:val="swiss"/>
    <w:pitch w:val="variable"/>
  </w:font>
  <w:font w:name="TimesNewRomanPSMT">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depage"/>
      <w:bidi w:val="0"/>
      <w:jc w:val="right"/>
      <w:rPr/>
    </w:pPr>
    <w:r>
      <w:rPr/>
      <w:t xml:space="preserve">Rhum Afr Franc </w:t>
    </w:r>
    <w:r>
      <w:rPr/>
      <w:t>ISSN : 2424-7596</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depage"/>
      <w:bidi w:val="0"/>
      <w:jc w:val="right"/>
      <w:rPr/>
    </w:pPr>
    <w:r>
      <w:rPr/>
      <w:t xml:space="preserve">Rhum Afr Franc </w:t>
    </w:r>
    <w:r>
      <w:rPr/>
      <w:t>ISSN : 2424-7596</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depage"/>
      <w:bidi w:val="0"/>
      <w:jc w:val="right"/>
      <w:rPr/>
    </w:pPr>
    <w:r>
      <w:rPr/>
      <w:t xml:space="preserve">Rhum Afr Franc </w:t>
    </w:r>
    <w:r>
      <w:rPr/>
      <w:t>ISSN : 2424-7596</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depage"/>
      <w:bidi w:val="0"/>
      <w:jc w:val="right"/>
      <w:rPr/>
    </w:pPr>
    <w:r>
      <w:rPr/>
      <w:t xml:space="preserve">Rhum Afr Franc </w:t>
    </w:r>
    <w:r>
      <w:rPr/>
      <w:t>ISSN : 2424-7596</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Entte"/>
      <w:bidi w:val="0"/>
      <w:jc w:val="left"/>
      <w:rPr>
        <w:rFonts w:ascii="Times New Roman" w:hAnsi="Times New Roman"/>
        <w:b w:val="false"/>
        <w:b w:val="false"/>
        <w:bCs w:val="false"/>
        <w:i/>
        <w:i/>
        <w:iCs/>
        <w:color w:val="000000"/>
        <w:sz w:val="18"/>
        <w:szCs w:val="18"/>
      </w:rPr>
    </w:pPr>
    <w:r>
      <w:rPr>
        <w:b w:val="false"/>
        <w:bCs w:val="false"/>
        <w:i/>
        <w:iCs/>
        <w:color w:val="000000"/>
        <w:sz w:val="18"/>
        <w:szCs w:val="18"/>
      </w:rPr>
      <w:t>Zabsonre/Tiendrebéogo WJ et al. Rhum Afr Franc 2017 ; 1(1)</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Entte"/>
      <w:bidi w:val="0"/>
      <w:jc w:val="right"/>
      <w:rPr>
        <w:b/>
        <w:b/>
        <w:bCs/>
        <w:color w:val="C9211E"/>
      </w:rPr>
    </w:pPr>
    <w:r>
      <w:drawing>
        <wp:anchor behindDoc="0" distT="0" distB="0" distL="0" distR="0" simplePos="0" locked="0" layoutInCell="0" allowOverlap="1" relativeHeight="2">
          <wp:simplePos x="0" y="0"/>
          <wp:positionH relativeFrom="column">
            <wp:posOffset>3039110</wp:posOffset>
          </wp:positionH>
          <wp:positionV relativeFrom="paragraph">
            <wp:posOffset>-263525</wp:posOffset>
          </wp:positionV>
          <wp:extent cx="982345" cy="398780"/>
          <wp:effectExtent l="0" t="0" r="0" b="0"/>
          <wp:wrapSquare wrapText="largest"/>
          <wp:docPr id="1"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6" descr=""/>
                  <pic:cNvPicPr>
                    <a:picLocks noChangeAspect="1" noChangeArrowheads="1"/>
                  </pic:cNvPicPr>
                </pic:nvPicPr>
                <pic:blipFill>
                  <a:blip r:embed="rId1"/>
                  <a:stretch>
                    <a:fillRect/>
                  </a:stretch>
                </pic:blipFill>
                <pic:spPr bwMode="auto">
                  <a:xfrm>
                    <a:off x="0" y="0"/>
                    <a:ext cx="982345" cy="398780"/>
                  </a:xfrm>
                  <a:prstGeom prst="rect">
                    <a:avLst/>
                  </a:prstGeom>
                </pic:spPr>
              </pic:pic>
            </a:graphicData>
          </a:graphic>
        </wp:anchor>
      </w:drawing>
      <w:drawing>
        <wp:anchor behindDoc="0" distT="0" distB="0" distL="0" distR="0" simplePos="0" locked="0" layoutInCell="0" allowOverlap="1" relativeHeight="3">
          <wp:simplePos x="0" y="0"/>
          <wp:positionH relativeFrom="column">
            <wp:posOffset>-50800</wp:posOffset>
          </wp:positionH>
          <wp:positionV relativeFrom="paragraph">
            <wp:posOffset>-356235</wp:posOffset>
          </wp:positionV>
          <wp:extent cx="2476500" cy="488315"/>
          <wp:effectExtent l="0" t="0" r="0" b="0"/>
          <wp:wrapSquare wrapText="largest"/>
          <wp:docPr id="2"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5" descr=""/>
                  <pic:cNvPicPr>
                    <a:picLocks noChangeAspect="1" noChangeArrowheads="1"/>
                  </pic:cNvPicPr>
                </pic:nvPicPr>
                <pic:blipFill>
                  <a:blip r:embed="rId2"/>
                  <a:stretch>
                    <a:fillRect/>
                  </a:stretch>
                </pic:blipFill>
                <pic:spPr bwMode="auto">
                  <a:xfrm>
                    <a:off x="0" y="0"/>
                    <a:ext cx="2476500" cy="488315"/>
                  </a:xfrm>
                  <a:prstGeom prst="rect">
                    <a:avLst/>
                  </a:prstGeom>
                </pic:spPr>
              </pic:pic>
            </a:graphicData>
          </a:graphic>
        </wp:anchor>
      </w:drawing>
    </w:r>
    <w:r>
      <w:rPr>
        <w:b/>
        <w:bCs/>
        <w:color w:val="C9211E"/>
      </w:rPr>
      <w:t>Article original</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Entte"/>
      <w:bidi w:val="0"/>
      <w:jc w:val="left"/>
      <w:rPr>
        <w:rFonts w:ascii="Times New Roman" w:hAnsi="Times New Roman"/>
        <w:b w:val="false"/>
        <w:b w:val="false"/>
        <w:bCs w:val="false"/>
        <w:i/>
        <w:i/>
        <w:iCs/>
        <w:color w:val="000000"/>
        <w:sz w:val="18"/>
        <w:szCs w:val="18"/>
      </w:rPr>
    </w:pPr>
    <w:r>
      <w:rPr>
        <w:b w:val="false"/>
        <w:bCs w:val="false"/>
        <w:i/>
        <w:iCs/>
        <w:color w:val="000000"/>
        <w:sz w:val="18"/>
        <w:szCs w:val="18"/>
      </w:rPr>
      <w:t>Zabsonre/Tiendrebéogo WJ et al. Rhum Afr Franc 2017 ; 1(1)</w: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Entte"/>
      <w:bidi w:val="0"/>
      <w:jc w:val="right"/>
      <w:rPr>
        <w:b/>
        <w:b/>
        <w:bCs/>
        <w:color w:val="C9211E"/>
      </w:rPr>
    </w:pPr>
    <w:r>
      <w:drawing>
        <wp:anchor behindDoc="0" distT="0" distB="0" distL="0" distR="0" simplePos="0" locked="0" layoutInCell="0" allowOverlap="1" relativeHeight="2">
          <wp:simplePos x="0" y="0"/>
          <wp:positionH relativeFrom="column">
            <wp:posOffset>3039110</wp:posOffset>
          </wp:positionH>
          <wp:positionV relativeFrom="paragraph">
            <wp:posOffset>-263525</wp:posOffset>
          </wp:positionV>
          <wp:extent cx="982345" cy="398780"/>
          <wp:effectExtent l="0" t="0" r="0" b="0"/>
          <wp:wrapSquare wrapText="largest"/>
          <wp:docPr id="3"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6" descr=""/>
                  <pic:cNvPicPr>
                    <a:picLocks noChangeAspect="1" noChangeArrowheads="1"/>
                  </pic:cNvPicPr>
                </pic:nvPicPr>
                <pic:blipFill>
                  <a:blip r:embed="rId1"/>
                  <a:stretch>
                    <a:fillRect/>
                  </a:stretch>
                </pic:blipFill>
                <pic:spPr bwMode="auto">
                  <a:xfrm>
                    <a:off x="0" y="0"/>
                    <a:ext cx="982345" cy="398780"/>
                  </a:xfrm>
                  <a:prstGeom prst="rect">
                    <a:avLst/>
                  </a:prstGeom>
                </pic:spPr>
              </pic:pic>
            </a:graphicData>
          </a:graphic>
        </wp:anchor>
      </w:drawing>
      <w:drawing>
        <wp:anchor behindDoc="0" distT="0" distB="0" distL="0" distR="0" simplePos="0" locked="0" layoutInCell="0" allowOverlap="1" relativeHeight="3">
          <wp:simplePos x="0" y="0"/>
          <wp:positionH relativeFrom="column">
            <wp:posOffset>-50800</wp:posOffset>
          </wp:positionH>
          <wp:positionV relativeFrom="paragraph">
            <wp:posOffset>-356235</wp:posOffset>
          </wp:positionV>
          <wp:extent cx="2476500" cy="488315"/>
          <wp:effectExtent l="0" t="0" r="0" b="0"/>
          <wp:wrapSquare wrapText="largest"/>
          <wp:docPr id="4"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5" descr=""/>
                  <pic:cNvPicPr>
                    <a:picLocks noChangeAspect="1" noChangeArrowheads="1"/>
                  </pic:cNvPicPr>
                </pic:nvPicPr>
                <pic:blipFill>
                  <a:blip r:embed="rId2"/>
                  <a:stretch>
                    <a:fillRect/>
                  </a:stretch>
                </pic:blipFill>
                <pic:spPr bwMode="auto">
                  <a:xfrm>
                    <a:off x="0" y="0"/>
                    <a:ext cx="2476500" cy="488315"/>
                  </a:xfrm>
                  <a:prstGeom prst="rect">
                    <a:avLst/>
                  </a:prstGeom>
                </pic:spPr>
              </pic:pic>
            </a:graphicData>
          </a:graphic>
        </wp:anchor>
      </w:drawing>
    </w:r>
    <w:r>
      <w:rPr>
        <w:b/>
        <w:bCs/>
        <w:color w:val="C9211E"/>
      </w:rPr>
      <w:t>Article original</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Titre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0"/>
        </w:tabs>
        <w:ind w:left="360" w:hanging="360"/>
      </w:pPr>
      <w:rPr/>
    </w:lvl>
    <w:lvl w:ilvl="1">
      <w:start w:val="1"/>
      <w:numFmt w:val="decimal"/>
      <w:lvlText w:val="%1.%2"/>
      <w:lvlJc w:val="left"/>
      <w:pPr>
        <w:tabs>
          <w:tab w:val="num" w:pos="0"/>
        </w:tabs>
        <w:ind w:left="576" w:hanging="576"/>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864" w:hanging="864"/>
      </w:pPr>
      <w:rPr/>
    </w:lvl>
    <w:lvl w:ilvl="4">
      <w:start w:val="1"/>
      <w:numFmt w:val="decimal"/>
      <w:lvlText w:val="%1.%2.%3.%4.%5"/>
      <w:lvlJc w:val="left"/>
      <w:pPr>
        <w:tabs>
          <w:tab w:val="num" w:pos="0"/>
        </w:tabs>
        <w:ind w:left="1008" w:hanging="1008"/>
      </w:pPr>
      <w:rPr/>
    </w:lvl>
    <w:lvl w:ilvl="5">
      <w:start w:val="1"/>
      <w:numFmt w:val="decimal"/>
      <w:lvlText w:val="%1.%2.%3.%4.%5.%6"/>
      <w:lvlJc w:val="left"/>
      <w:pPr>
        <w:tabs>
          <w:tab w:val="num" w:pos="0"/>
        </w:tabs>
        <w:ind w:left="1152" w:hanging="1152"/>
      </w:pPr>
      <w:rPr/>
    </w:lvl>
    <w:lvl w:ilvl="6">
      <w:start w:val="1"/>
      <w:numFmt w:val="decimal"/>
      <w:lvlText w:val="%1.%2.%3.%4.%5.%6.%7"/>
      <w:lvlJc w:val="left"/>
      <w:pPr>
        <w:tabs>
          <w:tab w:val="num" w:pos="0"/>
        </w:tabs>
        <w:ind w:left="1296" w:hanging="1296"/>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584" w:hanging="1584"/>
      </w:pPr>
      <w:rPr/>
    </w:lvl>
  </w:abstractNum>
  <w:abstractNum w:abstractNumId="3">
    <w:lvl w:ilvl="0">
      <w:start w:val="1"/>
      <w:numFmt w:val="decimal"/>
      <w:lvlText w:val="%1."/>
      <w:lvlJc w:val="left"/>
      <w:pPr>
        <w:tabs>
          <w:tab w:val="num" w:pos="720"/>
        </w:tabs>
        <w:ind w:left="720" w:hanging="72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fr-FR" w:eastAsia="zh-CN" w:bidi="hi-IN"/>
      </w:rPr>
    </w:rPrDefault>
    <w:pPrDefault>
      <w:pPr>
        <w:widowControl/>
        <w:suppressAutoHyphens w:val="true"/>
      </w:pPr>
    </w:pPrDefault>
  </w:docDefaults>
  <w:style w:type="paragraph" w:styleId="Normal">
    <w:name w:val="Normal"/>
    <w:qFormat/>
    <w:pPr>
      <w:widowControl/>
      <w:bidi w:val="0"/>
      <w:spacing w:before="0" w:after="0"/>
    </w:pPr>
    <w:rPr>
      <w:rFonts w:ascii="Times New Roman" w:hAnsi="Times New Roman" w:eastAsia="NSimSun" w:cs="Lucida Sans"/>
      <w:color w:val="auto"/>
      <w:kern w:val="2"/>
      <w:sz w:val="20"/>
      <w:szCs w:val="24"/>
      <w:lang w:val="fr-FR" w:eastAsia="zh-CN" w:bidi="hi-IN"/>
    </w:rPr>
  </w:style>
  <w:style w:type="paragraph" w:styleId="Titre1">
    <w:name w:val="Heading 1"/>
    <w:basedOn w:val="Titre"/>
    <w:next w:val="Corpsdetexte"/>
    <w:qFormat/>
    <w:pPr>
      <w:numPr>
        <w:ilvl w:val="0"/>
        <w:numId w:val="1"/>
      </w:numPr>
      <w:spacing w:before="240" w:after="120"/>
      <w:outlineLvl w:val="0"/>
    </w:pPr>
    <w:rPr>
      <w:b/>
      <w:bCs/>
      <w:sz w:val="36"/>
      <w:szCs w:val="36"/>
    </w:rPr>
  </w:style>
  <w:style w:type="character" w:styleId="WW8Num23z0">
    <w:name w:val="WW8Num23z0"/>
    <w:qFormat/>
    <w:rPr/>
  </w:style>
  <w:style w:type="character" w:styleId="WW8Num23z1">
    <w:name w:val="WW8Num23z1"/>
    <w:qFormat/>
    <w:rPr/>
  </w:style>
  <w:style w:type="character" w:styleId="WW8Num23z2">
    <w:name w:val="WW8Num23z2"/>
    <w:qFormat/>
    <w:rPr/>
  </w:style>
  <w:style w:type="character" w:styleId="WW8Num23z3">
    <w:name w:val="WW8Num23z3"/>
    <w:qFormat/>
    <w:rPr/>
  </w:style>
  <w:style w:type="character" w:styleId="WW8Num23z4">
    <w:name w:val="WW8Num23z4"/>
    <w:qFormat/>
    <w:rPr/>
  </w:style>
  <w:style w:type="character" w:styleId="WW8Num23z5">
    <w:name w:val="WW8Num23z5"/>
    <w:qFormat/>
    <w:rPr/>
  </w:style>
  <w:style w:type="character" w:styleId="WW8Num23z6">
    <w:name w:val="WW8Num23z6"/>
    <w:qFormat/>
    <w:rPr/>
  </w:style>
  <w:style w:type="character" w:styleId="WW8Num23z7">
    <w:name w:val="WW8Num23z7"/>
    <w:qFormat/>
    <w:rPr/>
  </w:style>
  <w:style w:type="character" w:styleId="WW8Num23z8">
    <w:name w:val="WW8Num23z8"/>
    <w:qFormat/>
    <w:rPr/>
  </w:style>
  <w:style w:type="character" w:styleId="Caractresdenumrotation">
    <w:name w:val="Caractères de numérotation"/>
    <w:qFormat/>
    <w:rPr/>
  </w:style>
  <w:style w:type="paragraph" w:styleId="Titre">
    <w:name w:val="Titre"/>
    <w:basedOn w:val="Normal"/>
    <w:next w:val="Corpsdetexte"/>
    <w:qFormat/>
    <w:pPr>
      <w:keepNext w:val="true"/>
      <w:spacing w:before="240" w:after="120"/>
    </w:pPr>
    <w:rPr>
      <w:rFonts w:ascii="Liberation Sans" w:hAnsi="Liberation Sans" w:eastAsia="Microsoft YaHei" w:cs="Lucida Sans"/>
      <w:sz w:val="28"/>
      <w:szCs w:val="28"/>
    </w:rPr>
  </w:style>
  <w:style w:type="paragraph" w:styleId="Corpsdetexte">
    <w:name w:val="Body Text"/>
    <w:basedOn w:val="Normal"/>
    <w:pPr>
      <w:spacing w:lineRule="auto" w:line="276" w:before="0" w:after="140"/>
    </w:pPr>
    <w:rPr/>
  </w:style>
  <w:style w:type="paragraph" w:styleId="Liste">
    <w:name w:val="List"/>
    <w:basedOn w:val="Corpsdetexte"/>
    <w:pPr/>
    <w:rPr>
      <w:rFonts w:cs="Lucida Sans"/>
    </w:rPr>
  </w:style>
  <w:style w:type="paragraph" w:styleId="Lgende">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Address">
    <w:name w:val="address"/>
    <w:basedOn w:val="Normal"/>
    <w:qFormat/>
    <w:pPr>
      <w:spacing w:lineRule="atLeast" w:line="220" w:before="0" w:after="200"/>
      <w:contextualSpacing/>
      <w:jc w:val="center"/>
    </w:pPr>
    <w:rPr>
      <w:sz w:val="18"/>
    </w:rPr>
  </w:style>
  <w:style w:type="paragraph" w:styleId="Author">
    <w:name w:val="author"/>
    <w:basedOn w:val="Normal"/>
    <w:next w:val="Address"/>
    <w:qFormat/>
    <w:pPr>
      <w:spacing w:before="0" w:after="200"/>
      <w:jc w:val="center"/>
    </w:pPr>
    <w:rPr/>
  </w:style>
  <w:style w:type="paragraph" w:styleId="Titreprincipal">
    <w:name w:val="Title"/>
    <w:basedOn w:val="Titre"/>
    <w:next w:val="Corpsdetexte"/>
    <w:qFormat/>
    <w:pPr>
      <w:jc w:val="center"/>
    </w:pPr>
    <w:rPr>
      <w:b/>
      <w:bCs/>
      <w:sz w:val="56"/>
      <w:szCs w:val="56"/>
    </w:rPr>
  </w:style>
  <w:style w:type="paragraph" w:styleId="Entteetpieddepage">
    <w:name w:val="En-tête et pied de page"/>
    <w:basedOn w:val="Normal"/>
    <w:qFormat/>
    <w:pPr>
      <w:suppressLineNumbers/>
      <w:tabs>
        <w:tab w:val="clear" w:pos="709"/>
        <w:tab w:val="center" w:pos="4819" w:leader="none"/>
        <w:tab w:val="right" w:pos="9638" w:leader="none"/>
      </w:tabs>
    </w:pPr>
    <w:rPr/>
  </w:style>
  <w:style w:type="paragraph" w:styleId="Entte">
    <w:name w:val="Header"/>
    <w:basedOn w:val="Entteetpieddepage"/>
    <w:pPr>
      <w:suppressLineNumbers/>
    </w:pPr>
    <w:rPr/>
  </w:style>
  <w:style w:type="paragraph" w:styleId="Enttegauche">
    <w:name w:val="En-tête gauche"/>
    <w:basedOn w:val="Entte"/>
    <w:qFormat/>
    <w:pPr>
      <w:suppressLineNumbers/>
    </w:pPr>
    <w:rPr/>
  </w:style>
  <w:style w:type="paragraph" w:styleId="Pieddepage">
    <w:name w:val="Footer"/>
    <w:basedOn w:val="Entteetpieddepage"/>
    <w:pPr>
      <w:suppressLineNumbers/>
    </w:pPr>
    <w:rPr/>
  </w:style>
  <w:style w:type="paragraph" w:styleId="Abstract">
    <w:name w:val="abstract"/>
    <w:basedOn w:val="Normal"/>
    <w:qFormat/>
    <w:pPr>
      <w:spacing w:lineRule="atLeast" w:line="220" w:before="600" w:after="360"/>
      <w:ind w:left="567" w:right="567" w:hanging="0"/>
      <w:contextualSpacing/>
    </w:pPr>
    <w:rPr>
      <w:sz w:val="18"/>
    </w:rPr>
  </w:style>
  <w:style w:type="paragraph" w:styleId="Keywords">
    <w:name w:val="keywords"/>
    <w:basedOn w:val="Abstract"/>
    <w:next w:val="Heading1"/>
    <w:qFormat/>
    <w:pPr>
      <w:spacing w:before="113" w:after="221"/>
    </w:pPr>
    <w:rPr/>
  </w:style>
  <w:style w:type="paragraph" w:styleId="Heading1">
    <w:name w:val="heading1"/>
    <w:basedOn w:val="Normal"/>
    <w:qFormat/>
    <w:pPr>
      <w:keepNext w:val="true"/>
      <w:keepLines/>
      <w:numPr>
        <w:ilvl w:val="0"/>
        <w:numId w:val="2"/>
      </w:numPr>
      <w:tabs>
        <w:tab w:val="clear" w:pos="709"/>
        <w:tab w:val="left" w:pos="227" w:leader="none"/>
      </w:tabs>
      <w:spacing w:lineRule="atLeast" w:line="300" w:before="360" w:after="240"/>
      <w:ind w:left="227" w:hanging="227"/>
      <w:jc w:val="left"/>
    </w:pPr>
    <w:rPr>
      <w:b/>
      <w:sz w:val="24"/>
    </w:rPr>
  </w:style>
  <w:style w:type="paragraph" w:styleId="Contenudetableau">
    <w:name w:val="Contenu de tableau"/>
    <w:basedOn w:val="Normal"/>
    <w:qFormat/>
    <w:pPr>
      <w:widowControl w:val="false"/>
      <w:suppressLineNumbers/>
    </w:pPr>
    <w:rPr/>
  </w:style>
  <w:style w:type="paragraph" w:styleId="Tableau">
    <w:name w:val="Tableau"/>
    <w:basedOn w:val="Lgende"/>
    <w:qFormat/>
    <w:pPr/>
    <w:rPr/>
  </w:style>
  <w:style w:type="paragraph" w:styleId="Bibliographie1">
    <w:name w:val="Bibliographie 1"/>
    <w:basedOn w:val="Index"/>
    <w:qFormat/>
    <w:pPr>
      <w:tabs>
        <w:tab w:val="clear" w:pos="709"/>
        <w:tab w:val="left" w:pos="504" w:leader="none"/>
      </w:tabs>
      <w:spacing w:lineRule="atLeast" w:line="240" w:before="0" w:after="240"/>
      <w:ind w:left="504" w:hanging="504"/>
    </w:pPr>
    <w:rPr/>
  </w:style>
  <w:style w:type="numbering" w:styleId="WW8Num23">
    <w:name w:val="WW8Num2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
</Relationships>
</file>

<file path=word/_rels/header2.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
</Relationships>
</file>

<file path=word/_rels/header4.xml.rels><?xml version="1.0" encoding="UTF-8"?>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png"/>
</Relationships>
</file>

<file path=docProps/app.xml><?xml version="1.0" encoding="utf-8"?>
<Properties xmlns="http://schemas.openxmlformats.org/officeDocument/2006/extended-properties" xmlns:vt="http://schemas.openxmlformats.org/officeDocument/2006/docPropsVTypes">
  <Template/>
  <TotalTime>7</TotalTime>
  <Application>LibreOffice/7.1.4.2$Windows_X86_64 LibreOffice_project/a529a4fab45b75fefc5b6226684193eb000654f6</Application>
  <AppVersion>15.0000</AppVersion>
  <Pages>4</Pages>
  <Words>1964</Words>
  <Characters>10625</Characters>
  <CharactersWithSpaces>12616</CharactersWithSpaces>
  <Paragraphs>122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2021-07-29T09:29:04Z</dcterms:created>
  <dc:creator/>
  <dc:description/>
  <dc:language>fr-FR</dc:language>
  <cp:lastModifiedBy/>
  <dcterms:modified xsi:type="dcterms:W3CDTF">2021-07-29T13:45:40Z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zotero-version="5.0.96.2"&gt;&lt;session id="uC6DSnE5"/&gt;&lt;style id="http://www.zotero.org/styles/vancouver-brackets" locale="fr-FR" hasBibliography="1" bibliographyStyleHasBeenSet="1"/&gt;&lt;prefs&gt;&lt;pref name="fieldType" value="ReferenceMark"/&gt;&lt;</vt:lpwstr>
  </property>
  <property fmtid="{D5CDD505-2E9C-101B-9397-08002B2CF9AE}" pid="3" name="ZOTERO_PREF_2">
    <vt:lpwstr>pref name="automaticJournalAbbreviations" value="true"/&gt;&lt;/prefs&gt;&lt;/data&gt;</vt:lpwstr>
  </property>
</Properties>
</file>